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971" w:rsidRDefault="00D3366A">
      <w:pPr>
        <w:pStyle w:val="Ttulo2"/>
        <w:spacing w:before="0" w:after="0" w:line="276" w:lineRule="auto"/>
        <w:jc w:val="left"/>
        <w:rPr>
          <w:color w:val="00000A"/>
          <w:sz w:val="26"/>
          <w:szCs w:val="26"/>
        </w:rPr>
      </w:pPr>
      <w:r>
        <w:rPr>
          <w:color w:val="00000A"/>
          <w:sz w:val="26"/>
          <w:szCs w:val="26"/>
        </w:rPr>
        <w:t>RSGC-P12-01: Informe de propuesta de modificación de memoria del título verificado.</w:t>
      </w:r>
    </w:p>
    <w:p w:rsidR="00546971" w:rsidRDefault="00546971">
      <w:pPr>
        <w:spacing w:after="0"/>
      </w:pPr>
    </w:p>
    <w:p w:rsidR="00546971" w:rsidRDefault="00D3366A">
      <w:pPr>
        <w:jc w:val="both"/>
        <w:rPr>
          <w:i/>
          <w:sz w:val="20"/>
          <w:szCs w:val="18"/>
        </w:rPr>
      </w:pPr>
      <w:r>
        <w:rPr>
          <w:i/>
          <w:sz w:val="20"/>
          <w:szCs w:val="18"/>
          <w:u w:val="single"/>
        </w:rPr>
        <w:t>Instrucciones de cumplimentación</w:t>
      </w:r>
      <w:r>
        <w:rPr>
          <w:i/>
          <w:sz w:val="20"/>
          <w:szCs w:val="18"/>
        </w:rPr>
        <w:t xml:space="preserve">: Se deben detallar las modificaciones propuestas de manera exhaustiva y sin lugar a interpretaciones, el apartado donde aparece el texto </w:t>
      </w:r>
      <w:r>
        <w:rPr>
          <w:i/>
          <w:sz w:val="20"/>
          <w:szCs w:val="18"/>
        </w:rPr>
        <w:t>que será afectado por la modificación, la información existente en la memoria, la nueva información que se quiere introducir, una breve justificación que describa los motivos que originan dicha modificación y finalmente un breve resumen a exigencia de la p</w:t>
      </w:r>
      <w:r>
        <w:rPr>
          <w:i/>
          <w:sz w:val="20"/>
          <w:szCs w:val="18"/>
        </w:rPr>
        <w:t>lataforma del Ministerio.</w:t>
      </w:r>
    </w:p>
    <w:p w:rsidR="00546971" w:rsidRDefault="00D3366A">
      <w:pPr>
        <w:jc w:val="both"/>
        <w:rPr>
          <w:i/>
          <w:sz w:val="20"/>
          <w:szCs w:val="18"/>
        </w:rPr>
      </w:pPr>
      <w:r>
        <w:rPr>
          <w:i/>
          <w:sz w:val="20"/>
          <w:szCs w:val="18"/>
        </w:rPr>
        <w:t xml:space="preserve">Se rellenará una fila por cada una de las modificaciones, en caso de ser necesario se debe insertar las filas que sean necesarias detallando el apartado de la memoria a la que pertenece, y se remitirá un único informe por título. </w:t>
      </w:r>
      <w:r>
        <w:rPr>
          <w:i/>
          <w:sz w:val="20"/>
          <w:szCs w:val="18"/>
        </w:rPr>
        <w:t>Este Informe deberá ser aprobado por la Junta de Centro. Debiendo incluir al final de este Informe una imagen escaneada del certificado del Acta donde fueron aprobadas.</w:t>
      </w:r>
    </w:p>
    <w:p w:rsidR="00546971" w:rsidRDefault="00D3366A">
      <w:pPr>
        <w:jc w:val="both"/>
        <w:rPr>
          <w:i/>
          <w:sz w:val="20"/>
          <w:szCs w:val="18"/>
        </w:rPr>
      </w:pPr>
      <w:r>
        <w:rPr>
          <w:i/>
          <w:sz w:val="20"/>
          <w:szCs w:val="18"/>
        </w:rPr>
        <w:t>En caso de necesitar información adicional, tales como cuadrantes o tablas debe hacerlo</w:t>
      </w:r>
      <w:r>
        <w:rPr>
          <w:i/>
          <w:sz w:val="20"/>
          <w:szCs w:val="18"/>
        </w:rPr>
        <w:t xml:space="preserve"> al final de este documento como anexo delimitando perfectamente el apartado al que corresponde. Recuerde cargar el documento en </w:t>
      </w:r>
      <w:r>
        <w:rPr>
          <w:i/>
          <w:sz w:val="20"/>
          <w:szCs w:val="18"/>
          <w:u w:val="single"/>
        </w:rPr>
        <w:t>formato editable WORD</w:t>
      </w:r>
      <w:r>
        <w:rPr>
          <w:i/>
          <w:sz w:val="20"/>
          <w:szCs w:val="18"/>
        </w:rPr>
        <w:t>, para facilitar la clasificación de las modificaciones según nivel 1 o 2 por parte de la Unidad de Calida</w:t>
      </w:r>
      <w:r>
        <w:rPr>
          <w:i/>
          <w:sz w:val="20"/>
          <w:szCs w:val="18"/>
        </w:rPr>
        <w:t>d y Evaluación.</w:t>
      </w:r>
    </w:p>
    <w:p w:rsidR="00546971" w:rsidRDefault="00D3366A">
      <w:pPr>
        <w:jc w:val="both"/>
        <w:rPr>
          <w:i/>
          <w:sz w:val="20"/>
          <w:szCs w:val="18"/>
        </w:rPr>
      </w:pPr>
      <w:r>
        <w:rPr>
          <w:i/>
          <w:sz w:val="20"/>
          <w:szCs w:val="18"/>
        </w:rPr>
        <w:t>Posteriormente, una vez aprobadas las modificaciones de Nivel 1 por el Consejo de Gobierno se remitirá a la Unidad de Calidad y Evaluación la memoria con dichas modificaciones incorporadas. Para resaltar las modificaciones, se tachará el te</w:t>
      </w:r>
      <w:r>
        <w:rPr>
          <w:i/>
          <w:sz w:val="20"/>
          <w:szCs w:val="18"/>
        </w:rPr>
        <w:t>xto que se modifique y se indicará en color rojo el texto modificado. En el caso de modificaciones Nivel 2 se incorporarán en el RSGC-P14-01: Autoinforme de seguimiento del título, del curso académico actual.</w:t>
      </w:r>
    </w:p>
    <w:p w:rsidR="00546971" w:rsidRDefault="00D3366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E5B8B7" w:themeFill="accent2" w:themeFillTint="66"/>
        <w:spacing w:after="0" w:line="240" w:lineRule="auto"/>
        <w:rPr>
          <w:b/>
          <w:sz w:val="20"/>
          <w:szCs w:val="18"/>
        </w:rPr>
      </w:pPr>
      <w:r>
        <w:rPr>
          <w:b/>
          <w:sz w:val="20"/>
          <w:szCs w:val="18"/>
        </w:rPr>
        <w:t>IMPORTANTE: Cada una de las modificaciones soli</w:t>
      </w:r>
      <w:r>
        <w:rPr>
          <w:b/>
          <w:sz w:val="20"/>
          <w:szCs w:val="18"/>
        </w:rPr>
        <w:t>citadas a la memoria no podrán ser implementadas por el Centro hasta recibir el correspondiente informe favorable de la Dirección de Evaluación y Acreditación de la Agencia Andaluza del Conocimiento.</w:t>
      </w:r>
    </w:p>
    <w:p w:rsidR="00546971" w:rsidRDefault="00546971">
      <w:pPr>
        <w:jc w:val="both"/>
        <w:rPr>
          <w:sz w:val="18"/>
        </w:rPr>
      </w:pPr>
    </w:p>
    <w:tbl>
      <w:tblPr>
        <w:tblW w:w="1100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41"/>
        <w:gridCol w:w="1559"/>
        <w:gridCol w:w="7504"/>
      </w:tblGrid>
      <w:tr w:rsidR="00546971">
        <w:trPr>
          <w:jc w:val="center"/>
        </w:trPr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607C"/>
            <w:tcMar>
              <w:left w:w="103" w:type="dxa"/>
            </w:tcMar>
            <w:vAlign w:val="center"/>
          </w:tcPr>
          <w:p w:rsidR="00546971" w:rsidRDefault="00D3366A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CURSO ACADÉMICO:</w:t>
            </w:r>
          </w:p>
        </w:tc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2017/2018</w:t>
            </w:r>
          </w:p>
        </w:tc>
      </w:tr>
      <w:tr w:rsidR="00546971">
        <w:trPr>
          <w:jc w:val="center"/>
        </w:trPr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607C"/>
            <w:tcMar>
              <w:left w:w="103" w:type="dxa"/>
            </w:tcMar>
            <w:vAlign w:val="center"/>
          </w:tcPr>
          <w:p w:rsidR="00546971" w:rsidRDefault="00D3366A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TÍTULO:</w:t>
            </w:r>
          </w:p>
        </w:tc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Máster en Comunicación Internacional</w:t>
            </w:r>
          </w:p>
        </w:tc>
      </w:tr>
      <w:tr w:rsidR="00546971">
        <w:trPr>
          <w:jc w:val="center"/>
        </w:trPr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607C"/>
            <w:tcMar>
              <w:left w:w="103" w:type="dxa"/>
            </w:tcMar>
            <w:vAlign w:val="center"/>
          </w:tcPr>
          <w:p w:rsidR="00546971" w:rsidRDefault="00D3366A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CENTRO/OS:</w:t>
            </w:r>
          </w:p>
        </w:tc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Facultad de Filosofía y Letras</w:t>
            </w:r>
            <w:bookmarkStart w:id="0" w:name="_GoBack"/>
            <w:bookmarkEnd w:id="0"/>
          </w:p>
        </w:tc>
      </w:tr>
      <w:tr w:rsidR="00546971">
        <w:trPr>
          <w:jc w:val="center"/>
        </w:trPr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607C"/>
            <w:tcMar>
              <w:left w:w="103" w:type="dxa"/>
            </w:tcMar>
            <w:vAlign w:val="center"/>
          </w:tcPr>
          <w:p w:rsidR="00546971" w:rsidRDefault="00D3366A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RESPONSABLE </w:t>
            </w:r>
            <w:r>
              <w:rPr>
                <w:b/>
                <w:color w:val="FFFFFF"/>
                <w:sz w:val="20"/>
                <w:szCs w:val="20"/>
              </w:rPr>
              <w:t>DE CUMPLIMENTACIÓN:</w:t>
            </w:r>
          </w:p>
        </w:tc>
        <w:tc>
          <w:tcPr>
            <w:tcW w:w="7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Comisión de Garantía de Calidad / Junta de Centro</w:t>
            </w:r>
          </w:p>
        </w:tc>
      </w:tr>
      <w:tr w:rsidR="00546971">
        <w:trPr>
          <w:jc w:val="center"/>
        </w:trPr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00607C"/>
            <w:tcMar>
              <w:left w:w="103" w:type="dxa"/>
            </w:tcMar>
            <w:vAlign w:val="center"/>
          </w:tcPr>
          <w:p w:rsidR="00546971" w:rsidRDefault="00D3366A">
            <w:pPr>
              <w:snapToGrid w:val="0"/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RECEPTOR DEL INFORME:</w:t>
            </w:r>
          </w:p>
        </w:tc>
        <w:tc>
          <w:tcPr>
            <w:tcW w:w="7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Unidad de Calidad y Evaluación (GD-SGC)</w:t>
            </w:r>
          </w:p>
        </w:tc>
      </w:tr>
    </w:tbl>
    <w:p w:rsidR="00546971" w:rsidRDefault="00546971">
      <w:pPr>
        <w:rPr>
          <w:sz w:val="14"/>
        </w:rPr>
      </w:pPr>
    </w:p>
    <w:tbl>
      <w:tblPr>
        <w:tblStyle w:val="Tablaconcuadrcula"/>
        <w:tblW w:w="1016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163"/>
      </w:tblGrid>
      <w:tr w:rsidR="00546971">
        <w:trPr>
          <w:jc w:val="center"/>
        </w:trPr>
        <w:tc>
          <w:tcPr>
            <w:tcW w:w="10163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D3366A">
            <w:pPr>
              <w:pStyle w:val="Ttulo2"/>
              <w:spacing w:before="0" w:after="0" w:line="276" w:lineRule="auto"/>
              <w:jc w:val="center"/>
              <w:outlineLvl w:val="1"/>
              <w:rPr>
                <w:color w:val="00000A"/>
                <w:szCs w:val="24"/>
              </w:rPr>
            </w:pPr>
            <w:r>
              <w:rPr>
                <w:color w:val="00000A"/>
                <w:szCs w:val="24"/>
              </w:rPr>
              <w:t>Documentación obligatoria que acompaña a la modificación (marcar lo que proceda con una X).</w:t>
            </w:r>
          </w:p>
          <w:p w:rsidR="00546971" w:rsidRDefault="00D3366A">
            <w:pPr>
              <w:spacing w:after="0"/>
              <w:jc w:val="center"/>
              <w:rPr>
                <w:lang w:eastAsia="es-ES"/>
              </w:rPr>
            </w:pPr>
            <w:r>
              <w:rPr>
                <w:lang w:eastAsia="es-ES"/>
              </w:rPr>
              <w:t xml:space="preserve">Esta documentación debe ser </w:t>
            </w:r>
            <w:r>
              <w:rPr>
                <w:lang w:eastAsia="es-ES"/>
              </w:rPr>
              <w:t>pegada como imagen al final de este documento.</w:t>
            </w:r>
          </w:p>
        </w:tc>
      </w:tr>
    </w:tbl>
    <w:p w:rsidR="00546971" w:rsidRDefault="00546971">
      <w:pPr>
        <w:spacing w:after="0"/>
        <w:rPr>
          <w:sz w:val="18"/>
        </w:rPr>
      </w:pPr>
    </w:p>
    <w:tbl>
      <w:tblPr>
        <w:tblStyle w:val="Tablaconcuadrcula"/>
        <w:tblW w:w="8192" w:type="dxa"/>
        <w:jc w:val="center"/>
        <w:tblCellMar>
          <w:left w:w="118" w:type="dxa"/>
        </w:tblCellMar>
        <w:tblLook w:val="04A0" w:firstRow="1" w:lastRow="0" w:firstColumn="1" w:lastColumn="0" w:noHBand="0" w:noVBand="1"/>
      </w:tblPr>
      <w:tblGrid>
        <w:gridCol w:w="7866"/>
        <w:gridCol w:w="326"/>
      </w:tblGrid>
      <w:tr w:rsidR="00546971">
        <w:trPr>
          <w:trHeight w:hRule="exact" w:val="284"/>
          <w:jc w:val="center"/>
        </w:trPr>
        <w:tc>
          <w:tcPr>
            <w:tcW w:w="791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46971" w:rsidRDefault="00D3366A">
            <w:pPr>
              <w:spacing w:after="0" w:line="240" w:lineRule="auto"/>
            </w:pPr>
            <w:r>
              <w:t xml:space="preserve">Acuerdo de las Junta/s de Centro/os aprobando la modificación de en el título </w:t>
            </w:r>
          </w:p>
        </w:tc>
        <w:tc>
          <w:tcPr>
            <w:tcW w:w="281" w:type="dxa"/>
            <w:shd w:val="clear" w:color="auto" w:fill="auto"/>
            <w:tcMar>
              <w:left w:w="103" w:type="dxa"/>
            </w:tcMar>
          </w:tcPr>
          <w:p w:rsidR="00546971" w:rsidRDefault="005858C5">
            <w:pPr>
              <w:spacing w:after="0" w:line="240" w:lineRule="auto"/>
            </w:pPr>
            <w:r>
              <w:t>X</w:t>
            </w:r>
          </w:p>
        </w:tc>
      </w:tr>
      <w:tr w:rsidR="00546971">
        <w:trPr>
          <w:trHeight w:hRule="exact" w:val="284"/>
          <w:jc w:val="center"/>
        </w:trPr>
        <w:tc>
          <w:tcPr>
            <w:tcW w:w="791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46971" w:rsidRDefault="00D3366A">
            <w:pPr>
              <w:spacing w:after="0" w:line="240" w:lineRule="auto"/>
            </w:pPr>
            <w:r>
              <w:t>Informe de viabilidad de los Departamentos implicados en la modificación</w:t>
            </w:r>
          </w:p>
        </w:tc>
        <w:tc>
          <w:tcPr>
            <w:tcW w:w="281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</w:pPr>
          </w:p>
        </w:tc>
      </w:tr>
    </w:tbl>
    <w:p w:rsidR="00546971" w:rsidRDefault="00546971">
      <w:pPr>
        <w:spacing w:after="0"/>
      </w:pPr>
    </w:p>
    <w:tbl>
      <w:tblPr>
        <w:tblStyle w:val="Tablaconcuadrcula"/>
        <w:tblW w:w="16300" w:type="dxa"/>
        <w:tblInd w:w="-34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88"/>
        <w:gridCol w:w="1418"/>
        <w:gridCol w:w="4167"/>
        <w:gridCol w:w="3880"/>
        <w:gridCol w:w="2834"/>
        <w:gridCol w:w="2127"/>
        <w:gridCol w:w="1286"/>
      </w:tblGrid>
      <w:tr w:rsidR="00546971">
        <w:trPr>
          <w:trHeight w:val="170"/>
          <w:tblHeader/>
        </w:trPr>
        <w:tc>
          <w:tcPr>
            <w:tcW w:w="2006" w:type="dxa"/>
            <w:gridSpan w:val="2"/>
            <w:vMerge w:val="restart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Apartados de la Memoria</w:t>
            </w:r>
          </w:p>
        </w:tc>
        <w:tc>
          <w:tcPr>
            <w:tcW w:w="13009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Solicitud de </w:t>
            </w:r>
            <w:r>
              <w:rPr>
                <w:b/>
                <w:lang w:val="en-US"/>
              </w:rPr>
              <w:t>Modificaciones a la Memoria Verificada</w:t>
            </w:r>
          </w:p>
        </w:tc>
        <w:tc>
          <w:tcPr>
            <w:tcW w:w="1284" w:type="dxa"/>
            <w:shd w:val="clear" w:color="auto" w:fill="808080" w:themeFill="background1" w:themeFillShade="80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Reservado para la UCE</w:t>
            </w:r>
          </w:p>
        </w:tc>
      </w:tr>
      <w:tr w:rsidR="00546971">
        <w:trPr>
          <w:trHeight w:val="170"/>
        </w:trPr>
        <w:tc>
          <w:tcPr>
            <w:tcW w:w="2006" w:type="dxa"/>
            <w:gridSpan w:val="2"/>
            <w:vMerge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168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tabs>
                <w:tab w:val="right" w:pos="4713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REDACCIÓN QUE APARECE EN LA MEMORIA</w:t>
            </w:r>
          </w:p>
        </w:tc>
        <w:tc>
          <w:tcPr>
            <w:tcW w:w="3879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PROPUESTA DE MODIFICACIÓN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Breve justificación</w:t>
            </w:r>
          </w:p>
        </w:tc>
        <w:tc>
          <w:tcPr>
            <w:tcW w:w="2125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Breve resumen</w:t>
            </w:r>
          </w:p>
        </w:tc>
        <w:tc>
          <w:tcPr>
            <w:tcW w:w="1286" w:type="dxa"/>
            <w:shd w:val="clear" w:color="auto" w:fill="808080" w:themeFill="background1" w:themeFillShade="80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Nivel 1 / Nivel 2</w:t>
            </w: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Verdana-BoldItalic"/>
                <w:b/>
                <w:bCs/>
                <w:iCs/>
                <w:sz w:val="20"/>
                <w:szCs w:val="20"/>
              </w:rPr>
              <w:t>1. Descripción del título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Datos Generales del Título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Distribución de Créditos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1.3.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Datos asociados al Centro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Verdana-BoldItalic"/>
                <w:b/>
                <w:bCs/>
                <w:iCs/>
                <w:sz w:val="20"/>
                <w:szCs w:val="20"/>
              </w:rPr>
              <w:t>2. Justificación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</w:tr>
      <w:tr w:rsidR="00546971">
        <w:trPr>
          <w:trHeight w:val="842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Justificación del Título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cs="Verdana-BoldItalic"/>
                <w:b/>
                <w:bCs/>
                <w:iCs/>
                <w:sz w:val="20"/>
                <w:szCs w:val="20"/>
              </w:rPr>
              <w:t>3. Competencias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 w:cs="Verdana-BoldItalic"/>
                <w:b/>
                <w:bCs/>
                <w:iCs/>
                <w:sz w:val="20"/>
                <w:szCs w:val="20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Básicas 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3.2.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Generales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3.3.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Transversales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3.4.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Específicas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4. Acceso y admisión </w:t>
            </w:r>
            <w:r>
              <w:rPr>
                <w:b/>
                <w:sz w:val="20"/>
                <w:szCs w:val="20"/>
                <w:lang w:val="en-US"/>
              </w:rPr>
              <w:t>de estudiantes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Sistema de información previo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4.2.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Requisitos de acceso y criterios de admisión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4.3.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Apoyo a estudiantes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Tras el análisis de la entrevista realizada en su caso, y a propuesta del coordinador de módulo específico, la </w:t>
            </w:r>
            <w:r>
              <w:rPr>
                <w:sz w:val="18"/>
                <w:szCs w:val="18"/>
                <w:lang w:val="en-US"/>
              </w:rPr>
              <w:t>coordinación del máster designará un tutor que realizará durante todo el desarrollo del máster un seguimiento personalizado del trabajo académico del alumno.</w:t>
            </w: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El análisis de la entrevista realizada en su caso servirá a la coordinación del máster y a los coo</w:t>
            </w:r>
            <w:r>
              <w:rPr>
                <w:sz w:val="18"/>
                <w:szCs w:val="18"/>
                <w:lang w:val="en-US"/>
              </w:rPr>
              <w:t>rdinadores de los módulos específicos para, en comunicación con los coordinadores de las asignaturas, realizar durante todo el desarrollo del máster un seguimiento personalizado del trabajo académico del alumno.</w:t>
            </w: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 designación de un tutor para cada estudia</w:t>
            </w:r>
            <w:r>
              <w:rPr>
                <w:sz w:val="18"/>
                <w:szCs w:val="18"/>
                <w:lang w:val="en-US"/>
              </w:rPr>
              <w:t xml:space="preserve">nte ha hecho que la tutorización individual fuera poco efectiva y difícil de supervisar y coordinar. Dado que el número de estudiantes no es excesivamente alto, se propone centralizar esta tarea en el equipo técnico (coordinador de máster + </w:t>
            </w:r>
            <w:r>
              <w:rPr>
                <w:sz w:val="18"/>
                <w:szCs w:val="18"/>
                <w:lang w:val="en-US"/>
              </w:rPr>
              <w:lastRenderedPageBreak/>
              <w:t>coordinadores d</w:t>
            </w:r>
            <w:r>
              <w:rPr>
                <w:sz w:val="18"/>
                <w:szCs w:val="18"/>
                <w:lang w:val="en-US"/>
              </w:rPr>
              <w:t>e módulo), cuyas frecuentes reuniones mejorarán la efectividad de esta medida de tutorización.</w:t>
            </w: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Se propone centralizar la tutorización individualizada del alumnado en el equipo técnico del máster, cuyas frecuentes reuniones de seguimiento permitirán una mej</w:t>
            </w:r>
            <w:r>
              <w:rPr>
                <w:sz w:val="18"/>
                <w:szCs w:val="18"/>
                <w:lang w:val="en-US"/>
              </w:rPr>
              <w:t xml:space="preserve">or coordinación del seguimiento </w:t>
            </w:r>
            <w:r>
              <w:rPr>
                <w:sz w:val="18"/>
                <w:szCs w:val="18"/>
                <w:lang w:val="en-US"/>
              </w:rPr>
              <w:lastRenderedPageBreak/>
              <w:t>individualizado de los estudiantes.</w:t>
            </w: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4.4.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Sistemas de transferencia y reconocimiento de créditos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4.5.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Curso de adaptación para titulados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5. Planificación de las enseñanzas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Estructura general del Plan de</w:t>
            </w:r>
            <w:r>
              <w:rPr>
                <w:sz w:val="18"/>
                <w:szCs w:val="18"/>
                <w:lang w:val="en-US"/>
              </w:rPr>
              <w:t xml:space="preserve"> Estudios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5.2.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 xml:space="preserve">Descripción y justificación académica del plan de estudios 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Técnicas de comunicación y de traducción</w:t>
            </w:r>
          </w:p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inglés/español, español/inglés para las</w:t>
            </w:r>
          </w:p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transacciones comerciales y marítimas internacionales    ------   </w:t>
            </w:r>
            <w:r>
              <w:rPr>
                <w:sz w:val="18"/>
                <w:szCs w:val="18"/>
                <w:lang w:val="en-US"/>
              </w:rPr>
              <w:t>SEMESTRE 1</w:t>
            </w: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Técnicas de comunicación y de traducción inglés/español, español/inglés para las transacciones comerciales y marítimas internacionales    ------   </w:t>
            </w:r>
            <w:r>
              <w:rPr>
                <w:sz w:val="18"/>
                <w:szCs w:val="18"/>
                <w:lang w:val="en-US"/>
              </w:rPr>
              <w:t>SEMESTRE 2</w:t>
            </w: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Necesidad de cambiar una asignatura en cada itinerario para ajustar el calendario.</w:t>
            </w: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La asignatura </w:t>
            </w:r>
            <w:r>
              <w:rPr>
                <w:i/>
                <w:sz w:val="18"/>
                <w:szCs w:val="18"/>
                <w:lang w:val="en-US"/>
              </w:rPr>
              <w:t>en cuestión pasa al segundo semestre para equilibrar el calendario</w:t>
            </w: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</w:pPr>
            <w:r>
              <w:rPr>
                <w:sz w:val="18"/>
                <w:szCs w:val="18"/>
                <w:lang w:val="en-US"/>
              </w:rPr>
              <w:t>5.2.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 xml:space="preserve">Descripción y justificación académica del plan de estudios </w:t>
            </w:r>
          </w:p>
        </w:tc>
        <w:tc>
          <w:tcPr>
            <w:tcW w:w="4168" w:type="dxa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Dimensiones aplicadas del estudio de la lengua inglesa    ------   </w:t>
            </w:r>
            <w:r>
              <w:rPr>
                <w:sz w:val="18"/>
                <w:szCs w:val="18"/>
                <w:lang w:val="en-US"/>
              </w:rPr>
              <w:t>SEMESTRE 1</w:t>
            </w:r>
          </w:p>
        </w:tc>
        <w:tc>
          <w:tcPr>
            <w:tcW w:w="3879" w:type="dxa"/>
            <w:tcBorders>
              <w:top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 xml:space="preserve">Dimensiones aplicadas del estudio de la lengua inglesa    ------   </w:t>
            </w:r>
            <w:r>
              <w:rPr>
                <w:sz w:val="18"/>
                <w:szCs w:val="18"/>
                <w:lang w:val="en-US"/>
              </w:rPr>
              <w:t>SEMESTRE 2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Necesidad de cambiar una asignatura en cada itinerario para ajustar el calendario.</w:t>
            </w:r>
          </w:p>
        </w:tc>
        <w:tc>
          <w:tcPr>
            <w:tcW w:w="212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46971" w:rsidRDefault="00D3366A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La asignatura en cuestión pasa al segundo semestre para equilibrar el calendario</w:t>
            </w:r>
          </w:p>
        </w:tc>
        <w:tc>
          <w:tcPr>
            <w:tcW w:w="128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jc w:val="both"/>
              <w:rPr>
                <w:i/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5.3.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</w:pPr>
            <w:r>
              <w:rPr>
                <w:sz w:val="18"/>
                <w:szCs w:val="18"/>
                <w:lang w:val="en-US"/>
              </w:rPr>
              <w:t>Planificación y gestión de la movilidad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</w:pPr>
            <w:r>
              <w:rPr>
                <w:sz w:val="18"/>
                <w:szCs w:val="18"/>
                <w:lang w:val="en-US"/>
              </w:rPr>
              <w:t>5.4.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Descripción Módulos. Fichas asignaturas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6. Personal académico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Profesorado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6.2.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Otros recursos humanos 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7. Recursos Materiales y Servicios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Recursos materiales y servicios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8. Resultados previstos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Estimación valores cuantitativos. Justificación de los indicadores propuestos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8.2.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Procedimiento general para valorar el proceso y los resultados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val="en-US" w:eastAsia="es-ES"/>
              </w:rPr>
              <w:t>9. Sistema de garantía de calidad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val="en-US" w:eastAsia="es-ES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val="en-US" w:eastAsia="es-E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9.1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Sistema de </w:t>
            </w:r>
            <w:r>
              <w:rPr>
                <w:sz w:val="18"/>
                <w:szCs w:val="18"/>
                <w:lang w:val="en-US"/>
              </w:rPr>
              <w:t>Garantía de Calidad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10055" w:type="dxa"/>
            <w:gridSpan w:val="4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10. Calendario de implantación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10.1.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Cronograma de implantación. Justificación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10.2.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Procedimiento adaptación 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546971">
        <w:trPr>
          <w:trHeight w:val="170"/>
        </w:trPr>
        <w:tc>
          <w:tcPr>
            <w:tcW w:w="58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10.3.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  <w:vAlign w:val="center"/>
          </w:tcPr>
          <w:p w:rsidR="00546971" w:rsidRDefault="00D3366A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Enseñanzas que se extinguen</w:t>
            </w:r>
          </w:p>
        </w:tc>
        <w:tc>
          <w:tcPr>
            <w:tcW w:w="4168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879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2125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86" w:type="dxa"/>
            <w:shd w:val="clear" w:color="auto" w:fill="auto"/>
            <w:tcMar>
              <w:left w:w="103" w:type="dxa"/>
            </w:tcMar>
          </w:tcPr>
          <w:p w:rsidR="00546971" w:rsidRDefault="005469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</w:tbl>
    <w:p w:rsidR="00546971" w:rsidRDefault="00546971"/>
    <w:p w:rsidR="00546971" w:rsidRDefault="00546971"/>
    <w:sectPr w:rsidR="00546971">
      <w:headerReference w:type="default" r:id="rId7"/>
      <w:footerReference w:type="default" r:id="rId8"/>
      <w:pgSz w:w="16838" w:h="11906" w:orient="landscape"/>
      <w:pgMar w:top="720" w:right="720" w:bottom="720" w:left="720" w:header="284" w:footer="51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3366A">
      <w:pPr>
        <w:spacing w:after="0" w:line="240" w:lineRule="auto"/>
      </w:pPr>
      <w:r>
        <w:separator/>
      </w:r>
    </w:p>
  </w:endnote>
  <w:endnote w:type="continuationSeparator" w:id="0">
    <w:p w:rsidR="00000000" w:rsidRDefault="00D3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-Bold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63" w:type="dxa"/>
      <w:tblInd w:w="2462" w:type="dxa"/>
      <w:tblBorders>
        <w:top w:val="single" w:sz="4" w:space="0" w:color="00000A"/>
        <w:bottom w:val="single" w:sz="4" w:space="0" w:color="00000A"/>
        <w:insideH w:val="single" w:sz="4" w:space="0" w:color="00000A"/>
      </w:tblBorders>
      <w:tblLook w:val="00A0" w:firstRow="1" w:lastRow="0" w:firstColumn="1" w:lastColumn="0" w:noHBand="0" w:noVBand="0"/>
    </w:tblPr>
    <w:tblGrid>
      <w:gridCol w:w="3221"/>
      <w:gridCol w:w="3221"/>
      <w:gridCol w:w="3221"/>
    </w:tblGrid>
    <w:tr w:rsidR="00546971">
      <w:tc>
        <w:tcPr>
          <w:tcW w:w="3221" w:type="dxa"/>
          <w:tcBorders>
            <w:top w:val="single" w:sz="4" w:space="0" w:color="00000A"/>
            <w:bottom w:val="single" w:sz="4" w:space="0" w:color="00000A"/>
          </w:tcBorders>
          <w:shd w:val="clear" w:color="auto" w:fill="878787"/>
        </w:tcPr>
        <w:p w:rsidR="00546971" w:rsidRDefault="00D3366A">
          <w:pPr>
            <w:pStyle w:val="Piedepgina"/>
            <w:rPr>
              <w:b/>
              <w:color w:val="FFFFFF"/>
            </w:rPr>
          </w:pPr>
          <w:r>
            <w:rPr>
              <w:b/>
              <w:color w:val="FFFFFF"/>
            </w:rPr>
            <w:t>SGC DE LA UCA</w:t>
          </w:r>
        </w:p>
      </w:tc>
      <w:tc>
        <w:tcPr>
          <w:tcW w:w="3221" w:type="dxa"/>
          <w:tcBorders>
            <w:top w:val="single" w:sz="4" w:space="0" w:color="00000A"/>
            <w:bottom w:val="single" w:sz="4" w:space="0" w:color="00000A"/>
          </w:tcBorders>
          <w:shd w:val="clear" w:color="auto" w:fill="878787"/>
        </w:tcPr>
        <w:p w:rsidR="00546971" w:rsidRDefault="00D3366A">
          <w:pPr>
            <w:pStyle w:val="Piedepgina"/>
            <w:jc w:val="center"/>
            <w:rPr>
              <w:b/>
              <w:color w:val="FFFFFF"/>
            </w:rPr>
          </w:pPr>
          <w:r>
            <w:rPr>
              <w:b/>
              <w:color w:val="FFFFFF"/>
            </w:rPr>
            <w:t xml:space="preserve">VERSIÓN 1.1 </w:t>
          </w:r>
          <w:r>
            <w:rPr>
              <w:b/>
              <w:color w:val="FFFFFF"/>
            </w:rPr>
            <w:t>(DICIEMBRE 2014)</w:t>
          </w:r>
        </w:p>
      </w:tc>
      <w:tc>
        <w:tcPr>
          <w:tcW w:w="3221" w:type="dxa"/>
          <w:tcBorders>
            <w:top w:val="single" w:sz="4" w:space="0" w:color="00000A"/>
            <w:bottom w:val="single" w:sz="4" w:space="0" w:color="00000A"/>
          </w:tcBorders>
          <w:shd w:val="clear" w:color="auto" w:fill="878787"/>
        </w:tcPr>
        <w:p w:rsidR="00546971" w:rsidRDefault="00D3366A">
          <w:pPr>
            <w:pStyle w:val="Piedepgina"/>
            <w:jc w:val="right"/>
          </w:pPr>
          <w:r>
            <w:rPr>
              <w:b/>
              <w:color w:val="FFFFFF"/>
            </w:rPr>
            <w:t xml:space="preserve">Página </w:t>
          </w:r>
          <w:r>
            <w:rPr>
              <w:b/>
              <w:color w:val="FFFFFF"/>
            </w:rPr>
            <w:fldChar w:fldCharType="begin"/>
          </w:r>
          <w:r>
            <w:instrText>PAGE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:rsidR="00546971" w:rsidRDefault="005469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3366A">
      <w:pPr>
        <w:spacing w:after="0" w:line="240" w:lineRule="auto"/>
      </w:pPr>
      <w:r>
        <w:separator/>
      </w:r>
    </w:p>
  </w:footnote>
  <w:footnote w:type="continuationSeparator" w:id="0">
    <w:p w:rsidR="00000000" w:rsidRDefault="00D3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0" w:type="dxa"/>
      <w:jc w:val="center"/>
      <w:tblBorders>
        <w:top w:val="single" w:sz="4" w:space="0" w:color="00000A"/>
        <w:bottom w:val="single" w:sz="4" w:space="0" w:color="00000A"/>
        <w:right w:val="double" w:sz="4" w:space="0" w:color="DD7500"/>
        <w:insideH w:val="single" w:sz="4" w:space="0" w:color="00000A"/>
        <w:insideV w:val="double" w:sz="4" w:space="0" w:color="DD7500"/>
      </w:tblBorders>
      <w:tblLook w:val="00A0" w:firstRow="1" w:lastRow="0" w:firstColumn="1" w:lastColumn="0" w:noHBand="0" w:noVBand="0"/>
    </w:tblPr>
    <w:tblGrid>
      <w:gridCol w:w="2972"/>
      <w:gridCol w:w="4057"/>
      <w:gridCol w:w="3171"/>
    </w:tblGrid>
    <w:tr w:rsidR="00546971">
      <w:trPr>
        <w:trHeight w:val="1191"/>
        <w:jc w:val="center"/>
      </w:trPr>
      <w:tc>
        <w:tcPr>
          <w:tcW w:w="2972" w:type="dxa"/>
          <w:tcBorders>
            <w:top w:val="single" w:sz="4" w:space="0" w:color="00000A"/>
            <w:bottom w:val="single" w:sz="4" w:space="0" w:color="00000A"/>
            <w:right w:val="double" w:sz="4" w:space="0" w:color="DD7500"/>
          </w:tcBorders>
          <w:shd w:val="clear" w:color="auto" w:fill="auto"/>
          <w:vAlign w:val="center"/>
        </w:tcPr>
        <w:p w:rsidR="00546971" w:rsidRDefault="00D3366A">
          <w:pPr>
            <w:pStyle w:val="Encabezado"/>
            <w:jc w:val="center"/>
            <w:rPr>
              <w:color w:val="00607C"/>
            </w:rPr>
          </w:pPr>
          <w:r>
            <w:rPr>
              <w:noProof/>
              <w:color w:val="00607C"/>
              <w:lang w:eastAsia="es-ES"/>
            </w:rPr>
            <w:drawing>
              <wp:anchor distT="0" distB="0" distL="133350" distR="120015" simplePos="0" relativeHeight="6" behindDoc="1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38100</wp:posOffset>
                </wp:positionV>
                <wp:extent cx="1708785" cy="717550"/>
                <wp:effectExtent l="0" t="0" r="0" b="0"/>
                <wp:wrapNone/>
                <wp:docPr id="1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717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57" w:type="dxa"/>
          <w:tcBorders>
            <w:top w:val="single" w:sz="4" w:space="0" w:color="00000A"/>
            <w:left w:val="double" w:sz="4" w:space="0" w:color="DD7500"/>
            <w:bottom w:val="single" w:sz="4" w:space="0" w:color="00000A"/>
            <w:right w:val="double" w:sz="4" w:space="0" w:color="DD7500"/>
          </w:tcBorders>
          <w:shd w:val="clear" w:color="auto" w:fill="auto"/>
          <w:tcMar>
            <w:left w:w="78" w:type="dxa"/>
          </w:tcMar>
          <w:vAlign w:val="center"/>
        </w:tcPr>
        <w:p w:rsidR="00546971" w:rsidRDefault="00D3366A">
          <w:pPr>
            <w:pStyle w:val="Encabezado"/>
            <w:jc w:val="center"/>
            <w:rPr>
              <w:rFonts w:cs="Calibri"/>
              <w:i/>
              <w:color w:val="00607C"/>
            </w:rPr>
          </w:pPr>
          <w:r>
            <w:rPr>
              <w:rFonts w:cs="Calibri"/>
              <w:i/>
              <w:color w:val="00607C"/>
            </w:rPr>
            <w:t>P12-Procedimiento para la modificación de los títulos oficiales de Grado y Máster</w:t>
          </w:r>
        </w:p>
      </w:tc>
      <w:tc>
        <w:tcPr>
          <w:tcW w:w="3171" w:type="dxa"/>
          <w:tcBorders>
            <w:top w:val="single" w:sz="4" w:space="0" w:color="00000A"/>
            <w:left w:val="double" w:sz="4" w:space="0" w:color="DD7500"/>
            <w:bottom w:val="single" w:sz="4" w:space="0" w:color="00000A"/>
            <w:right w:val="double" w:sz="4" w:space="0" w:color="DD7500"/>
          </w:tcBorders>
          <w:shd w:val="clear" w:color="auto" w:fill="auto"/>
          <w:tcMar>
            <w:left w:w="78" w:type="dxa"/>
          </w:tcMar>
          <w:vAlign w:val="center"/>
        </w:tcPr>
        <w:p w:rsidR="00546971" w:rsidRDefault="00D3366A">
          <w:pPr>
            <w:pStyle w:val="Encabezado"/>
            <w:jc w:val="center"/>
            <w:rPr>
              <w:b/>
              <w:color w:val="00607C"/>
            </w:rPr>
          </w:pPr>
          <w:r>
            <w:rPr>
              <w:b/>
              <w:color w:val="00607C"/>
            </w:rPr>
            <w:t xml:space="preserve">SGC DE LOS TÍTULOS DE </w:t>
          </w:r>
        </w:p>
        <w:p w:rsidR="00546971" w:rsidRDefault="00D3366A">
          <w:pPr>
            <w:pStyle w:val="Encabezado"/>
            <w:jc w:val="center"/>
            <w:rPr>
              <w:b/>
              <w:color w:val="00607C"/>
            </w:rPr>
          </w:pPr>
          <w:r>
            <w:rPr>
              <w:b/>
              <w:color w:val="00607C"/>
            </w:rPr>
            <w:t>GRADO Y MÁSTER DE LA UNIVERSIDAD DE CÁDIZ</w:t>
          </w:r>
        </w:p>
      </w:tc>
    </w:tr>
  </w:tbl>
  <w:p w:rsidR="00546971" w:rsidRDefault="00546971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71"/>
    <w:rsid w:val="00546971"/>
    <w:rsid w:val="005858C5"/>
    <w:rsid w:val="00D3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8BA73"/>
  <w15:docId w15:val="{D6B836F4-8E9D-4BD7-AAF8-BE786E4D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D92"/>
    <w:pPr>
      <w:spacing w:after="200" w:line="276" w:lineRule="auto"/>
    </w:pPr>
    <w:rPr>
      <w:color w:val="00000A"/>
      <w:sz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F930E9"/>
    <w:pPr>
      <w:keepNext/>
      <w:spacing w:before="120" w:after="60" w:line="240" w:lineRule="auto"/>
      <w:jc w:val="both"/>
      <w:outlineLvl w:val="1"/>
    </w:pPr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310D92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4E36A8"/>
  </w:style>
  <w:style w:type="character" w:customStyle="1" w:styleId="Ttulo2Car">
    <w:name w:val="Título 2 Car"/>
    <w:basedOn w:val="Fuentedeprrafopredeter"/>
    <w:link w:val="Ttulo2"/>
    <w:uiPriority w:val="99"/>
    <w:qFormat/>
    <w:rsid w:val="00F930E9"/>
    <w:rPr>
      <w:rFonts w:ascii="Calibri" w:eastAsia="Times New Roman" w:hAnsi="Calibri" w:cs="Times New Roman"/>
      <w:b/>
      <w:bCs/>
      <w:iCs/>
      <w:color w:val="800000"/>
      <w:sz w:val="24"/>
      <w:szCs w:val="28"/>
      <w:lang w:eastAsia="es-ES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Calibri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paragraph" w:styleId="Encabezado">
    <w:name w:val="header"/>
    <w:basedOn w:val="Normal"/>
    <w:next w:val="Textoindependiente"/>
    <w:link w:val="EncabezadoCar"/>
    <w:uiPriority w:val="99"/>
    <w:unhideWhenUsed/>
    <w:rsid w:val="00310D92"/>
    <w:pPr>
      <w:tabs>
        <w:tab w:val="center" w:pos="4252"/>
        <w:tab w:val="right" w:pos="8504"/>
      </w:tabs>
      <w:spacing w:after="0" w:line="240" w:lineRule="auto"/>
    </w:p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Piedepgina">
    <w:name w:val="footer"/>
    <w:basedOn w:val="Normal"/>
    <w:link w:val="PiedepginaCar"/>
    <w:uiPriority w:val="99"/>
    <w:unhideWhenUsed/>
    <w:rsid w:val="004E36A8"/>
    <w:pPr>
      <w:tabs>
        <w:tab w:val="center" w:pos="4252"/>
        <w:tab w:val="right" w:pos="8504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A2906"/>
    <w:pPr>
      <w:ind w:left="720"/>
      <w:contextualSpacing/>
    </w:pPr>
  </w:style>
  <w:style w:type="paragraph" w:customStyle="1" w:styleId="Prrafodelista1">
    <w:name w:val="Párrafo de lista1"/>
    <w:basedOn w:val="Normal"/>
    <w:uiPriority w:val="99"/>
    <w:qFormat/>
    <w:rsid w:val="00BA290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tenidodelatabla">
    <w:name w:val="Contenido de la tabla"/>
    <w:basedOn w:val="Normal"/>
    <w:qFormat/>
  </w:style>
  <w:style w:type="paragraph" w:customStyle="1" w:styleId="Encabezadodelatabla">
    <w:name w:val="Encabezado de la tabla"/>
    <w:basedOn w:val="Contenidodelatabla"/>
    <w:qFormat/>
  </w:style>
  <w:style w:type="table" w:styleId="Tablaconcuadrcula">
    <w:name w:val="Table Grid"/>
    <w:basedOn w:val="Tablanormal"/>
    <w:uiPriority w:val="99"/>
    <w:rsid w:val="0031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9814-D6A6-447F-92A0-CD0E0A5F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971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JOSE LUCENA MUÑOZ</dc:creator>
  <dc:description/>
  <cp:lastModifiedBy>Usuario de Windows</cp:lastModifiedBy>
  <cp:revision>2</cp:revision>
  <cp:lastPrinted>2014-11-26T10:07:00Z</cp:lastPrinted>
  <dcterms:created xsi:type="dcterms:W3CDTF">2018-04-11T08:59:00Z</dcterms:created>
  <dcterms:modified xsi:type="dcterms:W3CDTF">2018-04-11T08:59:00Z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