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4570EF" w:rsidRPr="00A307D4" w:rsidTr="00C640B4">
        <w:trPr>
          <w:trHeight w:val="1739"/>
        </w:trPr>
        <w:tc>
          <w:tcPr>
            <w:tcW w:w="9780" w:type="dxa"/>
          </w:tcPr>
          <w:p w:rsidR="004570EF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 w:rsidRPr="00A307D4">
              <w:rPr>
                <w:b/>
                <w:sz w:val="22"/>
                <w:szCs w:val="22"/>
                <w:lang w:val="es-ES_tradnl"/>
              </w:rPr>
              <w:t>PROPUESTA  A CONSEJO DE GOBIERNO</w:t>
            </w:r>
          </w:p>
          <w:p w:rsidR="004570EF" w:rsidRDefault="004570EF" w:rsidP="003D015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E0E0E0"/>
              <w:ind w:left="397"/>
              <w:jc w:val="center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ACUERDO DE MODIFICACIÓN DE</w:t>
            </w: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>ENCARGO DOCENTE DE LA ASIGNATURA “</w:t>
            </w:r>
            <w:r w:rsidR="00F27EDA">
              <w:rPr>
                <w:sz w:val="22"/>
                <w:szCs w:val="22"/>
              </w:rPr>
              <w:t>HISTORIA DE LAS IDEAS POLÍTICAS Y DE LAS INSTITUCIONES PÚBLICAS”</w:t>
            </w:r>
            <w:r w:rsidR="00DD24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DEL GRADO EN </w:t>
            </w:r>
            <w:r w:rsidR="00F27EDA">
              <w:rPr>
                <w:sz w:val="22"/>
                <w:szCs w:val="22"/>
              </w:rPr>
              <w:t>DERECHO</w:t>
            </w:r>
            <w:r>
              <w:rPr>
                <w:sz w:val="22"/>
                <w:szCs w:val="22"/>
              </w:rPr>
              <w:t xml:space="preserve"> </w:t>
            </w:r>
            <w:r w:rsidR="0041224C">
              <w:rPr>
                <w:sz w:val="22"/>
                <w:szCs w:val="22"/>
              </w:rPr>
              <w:t>EN</w:t>
            </w:r>
            <w:r w:rsidR="005F128B">
              <w:rPr>
                <w:sz w:val="22"/>
                <w:szCs w:val="22"/>
              </w:rPr>
              <w:t xml:space="preserve"> </w:t>
            </w:r>
            <w:r w:rsidR="0041224C">
              <w:rPr>
                <w:sz w:val="22"/>
                <w:szCs w:val="22"/>
              </w:rPr>
              <w:t>LA SEDE DE ALGECIRAS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rPr>
                <w:sz w:val="22"/>
                <w:lang w:val="es-ES_tradnl"/>
              </w:rPr>
            </w:pP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1.- EXPOSICIÓN DE ANTECEDENTES: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El C</w:t>
            </w:r>
            <w:r w:rsidR="002C6248">
              <w:rPr>
                <w:rFonts w:cs="Verdana"/>
                <w:bCs/>
                <w:sz w:val="22"/>
                <w:szCs w:val="22"/>
              </w:rPr>
              <w:t>onsejo de Gobierno, en su reuniones de 26 de febrero de 2010 y de 3 de marzo de 2011</w:t>
            </w:r>
            <w:r>
              <w:rPr>
                <w:rFonts w:cs="Verdana"/>
                <w:bCs/>
                <w:sz w:val="22"/>
                <w:szCs w:val="22"/>
              </w:rPr>
              <w:t xml:space="preserve"> aprobó la asignación y encargo docente de las asignaturas del Grado en </w:t>
            </w:r>
            <w:r w:rsidR="002C6248">
              <w:rPr>
                <w:rFonts w:cs="Verdana"/>
                <w:bCs/>
                <w:sz w:val="22"/>
                <w:szCs w:val="22"/>
              </w:rPr>
              <w:t>Derecho</w:t>
            </w:r>
            <w:r>
              <w:rPr>
                <w:rFonts w:cs="Verdana"/>
                <w:bCs/>
                <w:sz w:val="22"/>
                <w:szCs w:val="22"/>
              </w:rPr>
              <w:t xml:space="preserve"> (BOUCA </w:t>
            </w:r>
            <w:r w:rsidR="002C6248">
              <w:rPr>
                <w:rFonts w:cs="Verdana"/>
                <w:bCs/>
                <w:sz w:val="22"/>
                <w:szCs w:val="22"/>
              </w:rPr>
              <w:t>números 104 y 118  de 14 de abril de 2010 y 1 de abril de 2011</w:t>
            </w:r>
            <w:r w:rsidR="001C1F9D">
              <w:rPr>
                <w:rFonts w:cs="Verdana"/>
                <w:bCs/>
                <w:sz w:val="22"/>
                <w:szCs w:val="22"/>
              </w:rPr>
              <w:t>.</w:t>
            </w:r>
            <w:r w:rsidR="0018688E">
              <w:rPr>
                <w:rFonts w:cs="Verdana"/>
                <w:bCs/>
                <w:sz w:val="22"/>
                <w:szCs w:val="22"/>
              </w:rPr>
              <w:t xml:space="preserve"> </w:t>
            </w:r>
            <w:r>
              <w:rPr>
                <w:rFonts w:cs="Verdana"/>
                <w:bCs/>
                <w:sz w:val="22"/>
                <w:szCs w:val="22"/>
              </w:rPr>
              <w:t>En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 el acuerdo de 3 de marzo se recogían las asignaturas de 2º a 4º curso, entre las que se encontraba la optativa “Historia de las ideas políticas y de las Instituciones Públicas”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, </w:t>
            </w:r>
            <w:r w:rsidR="0041224C">
              <w:rPr>
                <w:rFonts w:cs="Verdana"/>
                <w:bCs/>
                <w:sz w:val="22"/>
                <w:szCs w:val="22"/>
              </w:rPr>
              <w:t xml:space="preserve">optativa </w:t>
            </w:r>
            <w:r w:rsidR="005A5F1C">
              <w:rPr>
                <w:rFonts w:cs="Verdana"/>
                <w:bCs/>
                <w:sz w:val="22"/>
                <w:szCs w:val="22"/>
              </w:rPr>
              <w:t>de 6 créditos,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 con la asignación y encargo docentes compartida al 50% por las áreas de conocimiento </w:t>
            </w:r>
            <w:r w:rsidR="002C6248" w:rsidRPr="005A5F1C">
              <w:rPr>
                <w:rFonts w:cs="Verdana"/>
                <w:bCs/>
                <w:i/>
                <w:sz w:val="22"/>
                <w:szCs w:val="22"/>
              </w:rPr>
              <w:t>“Historia del Derecho</w:t>
            </w:r>
            <w:r w:rsidR="001C1F9D" w:rsidRPr="005A5F1C">
              <w:rPr>
                <w:rFonts w:cs="Verdana"/>
                <w:bCs/>
                <w:i/>
                <w:sz w:val="22"/>
                <w:szCs w:val="22"/>
              </w:rPr>
              <w:t>” y “Filosofía del Derecho”,</w:t>
            </w:r>
            <w:r w:rsidR="001C1F9D">
              <w:rPr>
                <w:rFonts w:cs="Verdana"/>
                <w:bCs/>
                <w:sz w:val="22"/>
                <w:szCs w:val="22"/>
              </w:rPr>
              <w:t xml:space="preserve"> de los Departamentos Disciplinas Jurídicas Básicas y Derecho Público respectivamente.  </w:t>
            </w:r>
          </w:p>
          <w:p w:rsidR="001C1F9D" w:rsidRDefault="001C1F9D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Default="001C1F9D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Los Departamentos </w:t>
            </w:r>
            <w:r>
              <w:rPr>
                <w:rFonts w:cs="Verdana"/>
                <w:bCs/>
                <w:sz w:val="22"/>
                <w:szCs w:val="22"/>
              </w:rPr>
              <w:t>Disciplinas Jurí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dicas Básicas y Derecho Público, en el mes de marzo de 2014 </w:t>
            </w:r>
            <w:r w:rsidR="00E50D3A">
              <w:rPr>
                <w:rFonts w:cs="Verdana"/>
                <w:bCs/>
                <w:sz w:val="22"/>
                <w:szCs w:val="22"/>
              </w:rPr>
              <w:t xml:space="preserve">acordaron 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que el encargo docente </w:t>
            </w:r>
            <w:r w:rsidR="00E50D3A">
              <w:rPr>
                <w:rFonts w:cs="Verdana"/>
                <w:bCs/>
                <w:sz w:val="22"/>
                <w:szCs w:val="22"/>
              </w:rPr>
              <w:t xml:space="preserve">de la asignatura “Historia de las ideas políticas y de las Instituciones Públicas” (10306039) del Grado en Derecho de la Sede de Algeciras 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fuera asignado exclusivamente al área </w:t>
            </w:r>
            <w:r w:rsidR="005A5F1C" w:rsidRPr="005A5F1C">
              <w:rPr>
                <w:rFonts w:cs="Verdana"/>
                <w:bCs/>
                <w:i/>
                <w:sz w:val="22"/>
                <w:szCs w:val="22"/>
              </w:rPr>
              <w:t>Filosofía del Derecho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 del Departamento </w:t>
            </w:r>
            <w:r w:rsidR="00E50D3A">
              <w:rPr>
                <w:rFonts w:cs="Verdana"/>
                <w:bCs/>
                <w:sz w:val="22"/>
                <w:szCs w:val="22"/>
              </w:rPr>
              <w:t xml:space="preserve"> </w:t>
            </w:r>
            <w:r w:rsidR="005A5F1C">
              <w:rPr>
                <w:rFonts w:cs="Verdana"/>
                <w:bCs/>
                <w:sz w:val="22"/>
                <w:szCs w:val="22"/>
              </w:rPr>
              <w:t>de Derecho Público.</w:t>
            </w:r>
            <w:r w:rsidR="00115826">
              <w:rPr>
                <w:rFonts w:cs="Verdana"/>
                <w:bCs/>
                <w:sz w:val="22"/>
                <w:szCs w:val="22"/>
              </w:rPr>
              <w:t xml:space="preserve"> </w:t>
            </w:r>
          </w:p>
          <w:p w:rsidR="00115826" w:rsidRDefault="00115826" w:rsidP="003D015A">
            <w:pPr>
              <w:ind w:left="397"/>
              <w:jc w:val="both"/>
              <w:rPr>
                <w:sz w:val="22"/>
              </w:rPr>
            </w:pPr>
          </w:p>
          <w:p w:rsidR="00606F0C" w:rsidRDefault="00606F0C" w:rsidP="003D015A">
            <w:pPr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Finalmente, dicha propuesta fue aprobada por Junta de Facultad de </w:t>
            </w:r>
            <w:r w:rsidR="005A5F1C">
              <w:rPr>
                <w:sz w:val="22"/>
              </w:rPr>
              <w:t>Derecho</w:t>
            </w:r>
            <w:r w:rsidR="003D015A">
              <w:rPr>
                <w:sz w:val="22"/>
              </w:rPr>
              <w:t xml:space="preserve"> en sesión de </w:t>
            </w:r>
            <w:r w:rsidR="005A5F1C">
              <w:rPr>
                <w:sz w:val="22"/>
              </w:rPr>
              <w:t>28</w:t>
            </w:r>
            <w:r w:rsidR="003D015A">
              <w:rPr>
                <w:sz w:val="22"/>
              </w:rPr>
              <w:t xml:space="preserve"> de </w:t>
            </w:r>
            <w:r w:rsidR="005A5F1C">
              <w:rPr>
                <w:sz w:val="22"/>
              </w:rPr>
              <w:t>mayo</w:t>
            </w:r>
            <w:r w:rsidR="003D015A">
              <w:rPr>
                <w:sz w:val="22"/>
              </w:rPr>
              <w:t xml:space="preserve"> de 201</w:t>
            </w:r>
            <w:r w:rsidR="005A5F1C">
              <w:rPr>
                <w:sz w:val="22"/>
              </w:rPr>
              <w:t>5</w:t>
            </w:r>
            <w:r w:rsidR="003D015A">
              <w:rPr>
                <w:sz w:val="22"/>
              </w:rPr>
              <w:t>.</w:t>
            </w: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2.- FUNDAMENTACIÓN: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  <w:r w:rsidRPr="00A307D4">
              <w:rPr>
                <w:sz w:val="22"/>
                <w:szCs w:val="22"/>
                <w:lang w:val="es-ES_tradnl"/>
              </w:rPr>
              <w:t>La presente propuesta se fundamenta en la</w:t>
            </w:r>
            <w:r>
              <w:rPr>
                <w:sz w:val="22"/>
                <w:szCs w:val="22"/>
                <w:lang w:val="es-ES_tradnl"/>
              </w:rPr>
              <w:t xml:space="preserve"> Instrucción UCA/I01VPOA/2009, de </w:t>
            </w:r>
            <w:r w:rsidR="004A4B77">
              <w:rPr>
                <w:sz w:val="22"/>
                <w:szCs w:val="22"/>
                <w:lang w:val="es-ES_tradnl"/>
              </w:rPr>
              <w:t>20 de febrero de 2009, por la qu</w:t>
            </w:r>
            <w:r>
              <w:rPr>
                <w:sz w:val="22"/>
                <w:szCs w:val="22"/>
                <w:lang w:val="es-ES_tradnl"/>
              </w:rPr>
              <w:t xml:space="preserve">e se establecen los mecanismos para la definición y asignación de asignaturas de planes de estudios de Grado y determinación de los Encargos Docentes a Departamentos y Áreas de Conocimiento (BOUCA Nº 90, de 25 de febrero de 2009). </w:t>
            </w:r>
            <w:r w:rsidRPr="00A307D4">
              <w:rPr>
                <w:sz w:val="22"/>
                <w:szCs w:val="22"/>
                <w:lang w:val="es-ES_tradnl"/>
              </w:rPr>
              <w:t xml:space="preserve"> </w:t>
            </w: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3.- ACUERDO: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 xml:space="preserve">Por todo ello, se propone la asignación y encargo docente de la asignatura </w:t>
            </w:r>
            <w:r w:rsidR="004A4B77">
              <w:rPr>
                <w:rFonts w:cs="Verdana"/>
                <w:sz w:val="22"/>
                <w:szCs w:val="22"/>
              </w:rPr>
              <w:t>“</w:t>
            </w:r>
            <w:r w:rsidR="005A5F1C">
              <w:rPr>
                <w:rFonts w:cs="Verdana"/>
                <w:sz w:val="22"/>
                <w:szCs w:val="22"/>
              </w:rPr>
              <w:t>Historia de las ideas políticas y de las Instituciones Públicas” del Grado en Derecho en la Sede de Algeciras</w:t>
            </w:r>
            <w:r w:rsidR="004A4B77">
              <w:rPr>
                <w:rFonts w:cs="Verdana"/>
                <w:sz w:val="22"/>
                <w:szCs w:val="22"/>
              </w:rPr>
              <w:t xml:space="preserve"> </w:t>
            </w:r>
            <w:r w:rsidR="002735AB">
              <w:rPr>
                <w:rFonts w:cs="Verdana"/>
                <w:sz w:val="22"/>
                <w:szCs w:val="22"/>
              </w:rPr>
              <w:t xml:space="preserve">según se </w:t>
            </w:r>
            <w:r w:rsidR="004A4B77">
              <w:rPr>
                <w:rFonts w:cs="Verdana"/>
                <w:sz w:val="22"/>
                <w:szCs w:val="22"/>
              </w:rPr>
              <w:t xml:space="preserve"> recoge a con</w:t>
            </w:r>
            <w:r>
              <w:rPr>
                <w:rFonts w:cs="Verdana"/>
                <w:sz w:val="22"/>
                <w:szCs w:val="22"/>
              </w:rPr>
              <w:t>tinuación:</w:t>
            </w: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tbl>
            <w:tblPr>
              <w:tblW w:w="0" w:type="auto"/>
              <w:tblInd w:w="3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9"/>
              <w:gridCol w:w="4456"/>
            </w:tblGrid>
            <w:tr w:rsidR="004570EF" w:rsidTr="0041224C"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4570EF" w:rsidRPr="0071195D" w:rsidRDefault="004570EF" w:rsidP="003D015A">
                  <w:pPr>
                    <w:ind w:left="397"/>
                    <w:jc w:val="center"/>
                    <w:rPr>
                      <w:rFonts w:cs="Verdana"/>
                      <w:bCs/>
                      <w:sz w:val="22"/>
                    </w:rPr>
                  </w:pPr>
                  <w:r w:rsidRPr="0071195D">
                    <w:rPr>
                      <w:rFonts w:cs="Verdana"/>
                      <w:bCs/>
                      <w:sz w:val="22"/>
                      <w:szCs w:val="22"/>
                    </w:rPr>
                    <w:t>Asignación docente</w:t>
                  </w:r>
                </w:p>
              </w:tc>
              <w:tc>
                <w:tcPr>
                  <w:tcW w:w="4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4570EF" w:rsidRPr="0071195D" w:rsidRDefault="004570EF" w:rsidP="003D015A">
                  <w:pPr>
                    <w:ind w:left="397"/>
                    <w:jc w:val="center"/>
                    <w:rPr>
                      <w:rFonts w:cs="Verdana"/>
                      <w:bCs/>
                      <w:sz w:val="22"/>
                    </w:rPr>
                  </w:pPr>
                  <w:r w:rsidRPr="0071195D">
                    <w:rPr>
                      <w:rFonts w:cs="Verdana"/>
                      <w:bCs/>
                      <w:sz w:val="22"/>
                      <w:szCs w:val="22"/>
                    </w:rPr>
                    <w:t>Encargo docente</w:t>
                  </w:r>
                </w:p>
              </w:tc>
            </w:tr>
            <w:tr w:rsidR="004570EF" w:rsidTr="0041224C"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224C" w:rsidRDefault="005A5F1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 w:rsidRPr="0041224C">
                    <w:rPr>
                      <w:rFonts w:cs="Verdana"/>
                      <w:bCs/>
                      <w:sz w:val="22"/>
                    </w:rPr>
                    <w:t>Historia del Derecho</w:t>
                  </w:r>
                  <w:r w:rsidR="0041224C">
                    <w:rPr>
                      <w:rFonts w:cs="Verdana"/>
                      <w:bCs/>
                      <w:sz w:val="22"/>
                    </w:rPr>
                    <w:t xml:space="preserve"> </w:t>
                  </w:r>
                </w:p>
                <w:p w:rsidR="002735AB" w:rsidRPr="0041224C" w:rsidRDefault="0041224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</w:t>
                  </w:r>
                  <w:r>
                    <w:rPr>
                      <w:rFonts w:cs="Verdana"/>
                      <w:bCs/>
                      <w:sz w:val="22"/>
                    </w:rPr>
                    <w:t>Departamento: Disciplinas Jurídicas Básicas</w:t>
                  </w:r>
                  <w:r>
                    <w:rPr>
                      <w:rFonts w:cs="Verdana"/>
                      <w:bCs/>
                      <w:sz w:val="22"/>
                    </w:rPr>
                    <w:t>)</w:t>
                  </w:r>
                </w:p>
                <w:p w:rsidR="0041224C" w:rsidRDefault="0041224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 w:rsidRPr="0041224C">
                    <w:rPr>
                      <w:rFonts w:cs="Verdana"/>
                      <w:bCs/>
                      <w:sz w:val="22"/>
                    </w:rPr>
                    <w:t>Filosofía del Derecho</w:t>
                  </w:r>
                </w:p>
                <w:p w:rsidR="0041224C" w:rsidRPr="0071195D" w:rsidRDefault="0041224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</w:t>
                  </w:r>
                  <w:r w:rsidRPr="0041224C">
                    <w:rPr>
                      <w:rFonts w:cs="Verdana"/>
                      <w:bCs/>
                      <w:sz w:val="22"/>
                    </w:rPr>
                    <w:t>Departamento: Derecho Público</w:t>
                  </w:r>
                  <w:r>
                    <w:rPr>
                      <w:rFonts w:cs="Verdana"/>
                      <w:bCs/>
                      <w:sz w:val="22"/>
                    </w:rPr>
                    <w:t>)</w:t>
                  </w:r>
                </w:p>
              </w:tc>
              <w:tc>
                <w:tcPr>
                  <w:tcW w:w="4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0EF" w:rsidRDefault="005A5F1C" w:rsidP="005A5F1C">
                  <w:pPr>
                    <w:ind w:left="397"/>
                    <w:jc w:val="both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Filosofía del Derecho</w:t>
                  </w:r>
                </w:p>
                <w:p w:rsidR="0041224C" w:rsidRDefault="0041224C" w:rsidP="0041224C">
                  <w:pPr>
                    <w:ind w:left="397"/>
                    <w:jc w:val="both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</w:t>
                  </w:r>
                  <w:r>
                    <w:rPr>
                      <w:rFonts w:cs="Verdana"/>
                      <w:bCs/>
                      <w:sz w:val="22"/>
                    </w:rPr>
                    <w:t>Departamento: Derecho Público</w:t>
                  </w:r>
                  <w:r>
                    <w:rPr>
                      <w:rFonts w:cs="Verdana"/>
                      <w:bCs/>
                      <w:sz w:val="22"/>
                    </w:rPr>
                    <w:t>)</w:t>
                  </w:r>
                </w:p>
                <w:p w:rsidR="0041224C" w:rsidRPr="0071195D" w:rsidRDefault="0041224C" w:rsidP="005A5F1C">
                  <w:pPr>
                    <w:ind w:left="397"/>
                    <w:jc w:val="both"/>
                    <w:rPr>
                      <w:rFonts w:cs="Verdana"/>
                      <w:bCs/>
                      <w:sz w:val="22"/>
                    </w:rPr>
                  </w:pPr>
                </w:p>
              </w:tc>
            </w:tr>
          </w:tbl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Cádiz, </w:t>
            </w:r>
            <w:r w:rsidR="0041224C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 xml:space="preserve"> de</w:t>
            </w:r>
            <w:r w:rsidR="002735AB">
              <w:rPr>
                <w:sz w:val="22"/>
                <w:szCs w:val="22"/>
              </w:rPr>
              <w:t xml:space="preserve"> </w:t>
            </w:r>
            <w:r w:rsidR="0041224C">
              <w:rPr>
                <w:sz w:val="22"/>
                <w:szCs w:val="22"/>
              </w:rPr>
              <w:t>julio</w:t>
            </w:r>
            <w:r w:rsidRPr="00A307D4">
              <w:rPr>
                <w:sz w:val="22"/>
                <w:szCs w:val="22"/>
              </w:rPr>
              <w:t xml:space="preserve"> de 201</w:t>
            </w:r>
            <w:r w:rsidR="0041224C">
              <w:rPr>
                <w:sz w:val="22"/>
                <w:szCs w:val="22"/>
              </w:rPr>
              <w:t>5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1224C" w:rsidRDefault="0041224C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mallCaps/>
                <w:sz w:val="22"/>
              </w:rPr>
            </w:pPr>
            <w:r w:rsidRPr="00A307D4">
              <w:rPr>
                <w:sz w:val="22"/>
                <w:szCs w:val="22"/>
              </w:rPr>
              <w:t>Carlos Moreno Aguilar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Vicerrector de Ordenación Académica y Personal</w:t>
            </w:r>
          </w:p>
        </w:tc>
      </w:tr>
    </w:tbl>
    <w:p w:rsidR="004570EF" w:rsidRPr="00A307D4" w:rsidRDefault="004570EF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sectPr w:rsidR="004570EF" w:rsidRPr="00A307D4" w:rsidSect="00C640B4">
      <w:headerReference w:type="even" r:id="rId9"/>
      <w:headerReference w:type="default" r:id="rId10"/>
      <w:headerReference w:type="first" r:id="rId11"/>
      <w:pgSz w:w="11906" w:h="16838" w:code="9"/>
      <w:pgMar w:top="737" w:right="851" w:bottom="737" w:left="567" w:header="720" w:footer="7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C9E" w:rsidRDefault="00427C9E">
      <w:r>
        <w:separator/>
      </w:r>
    </w:p>
  </w:endnote>
  <w:endnote w:type="continuationSeparator" w:id="0">
    <w:p w:rsidR="00427C9E" w:rsidRDefault="0042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C9E" w:rsidRDefault="00427C9E">
      <w:r>
        <w:separator/>
      </w:r>
    </w:p>
  </w:footnote>
  <w:footnote w:type="continuationSeparator" w:id="0">
    <w:p w:rsidR="00427C9E" w:rsidRDefault="00427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0EF" w:rsidRDefault="00B53299" w:rsidP="00AB1482">
    <w:pPr>
      <w:pStyle w:val="Textoencabezado"/>
      <w:spacing w:line="192" w:lineRule="auto"/>
      <w:ind w:left="-70"/>
    </w:pPr>
    <w:r>
      <w:rPr>
        <w:noProof/>
      </w:rPr>
      <w:drawing>
        <wp:inline distT="0" distB="0" distL="0" distR="0">
          <wp:extent cx="2057400" cy="942975"/>
          <wp:effectExtent l="0" t="0" r="0" b="9525"/>
          <wp:docPr id="41" name="Imagen 3" descr="LOGO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0EF" w:rsidRDefault="004570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7"/>
      <w:gridCol w:w="193"/>
      <w:gridCol w:w="3047"/>
      <w:gridCol w:w="193"/>
      <w:gridCol w:w="3278"/>
    </w:tblGrid>
    <w:tr w:rsidR="004570EF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4570EF" w:rsidRDefault="00B53299" w:rsidP="00AA6615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2057400" cy="942975"/>
                <wp:effectExtent l="0" t="0" r="0" b="9525"/>
                <wp:docPr id="42" name="Imagen 4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  <w:jc w:val="right"/>
          </w:pPr>
        </w:p>
      </w:tc>
      <w:tc>
        <w:tcPr>
          <w:tcW w:w="3047" w:type="dxa"/>
          <w:tcBorders>
            <w:bottom w:val="nil"/>
          </w:tcBorders>
        </w:tcPr>
        <w:p w:rsidR="004570EF" w:rsidRDefault="004570EF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4570EF" w:rsidRDefault="004570EF" w:rsidP="00AA6615">
          <w:pPr>
            <w:pStyle w:val="Textoencabezado"/>
          </w:pPr>
        </w:p>
      </w:tc>
    </w:tr>
  </w:tbl>
  <w:p w:rsidR="004570EF" w:rsidRPr="00093DE7" w:rsidRDefault="004570EF" w:rsidP="009B630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2" w:type="dxa"/>
      <w:tblInd w:w="52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1"/>
      <w:gridCol w:w="5696"/>
    </w:tblGrid>
    <w:tr w:rsidR="004570EF" w:rsidRPr="00415DBE" w:rsidTr="00484F5F">
      <w:trPr>
        <w:cantSplit/>
        <w:trHeight w:val="1545"/>
      </w:trPr>
      <w:tc>
        <w:tcPr>
          <w:tcW w:w="3945" w:type="dxa"/>
        </w:tcPr>
        <w:p w:rsidR="004570EF" w:rsidRPr="00415DBE" w:rsidRDefault="00B53299" w:rsidP="00415DB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2057400" cy="942975"/>
                <wp:effectExtent l="0" t="0" r="0" b="9525"/>
                <wp:docPr id="43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" w:type="dxa"/>
        </w:tcPr>
        <w:p w:rsidR="004570EF" w:rsidRPr="00415DBE" w:rsidRDefault="00B53299" w:rsidP="00415DB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>
                <wp:extent cx="38100" cy="942975"/>
                <wp:effectExtent l="0" t="0" r="0" b="9525"/>
                <wp:docPr id="44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6" w:type="dxa"/>
        </w:tcPr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4570EF" w:rsidRPr="00415DBE" w:rsidRDefault="004570EF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4570EF" w:rsidRPr="00415DBE" w:rsidRDefault="004570EF" w:rsidP="00415D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"/>
  </w:num>
  <w:num w:numId="3">
    <w:abstractNumId w:val="24"/>
  </w:num>
  <w:num w:numId="4">
    <w:abstractNumId w:val="16"/>
  </w:num>
  <w:num w:numId="5">
    <w:abstractNumId w:val="5"/>
  </w:num>
  <w:num w:numId="6">
    <w:abstractNumId w:val="29"/>
  </w:num>
  <w:num w:numId="7">
    <w:abstractNumId w:val="28"/>
  </w:num>
  <w:num w:numId="8">
    <w:abstractNumId w:val="10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18"/>
  </w:num>
  <w:num w:numId="14">
    <w:abstractNumId w:val="6"/>
  </w:num>
  <w:num w:numId="15">
    <w:abstractNumId w:val="27"/>
  </w:num>
  <w:num w:numId="16">
    <w:abstractNumId w:val="25"/>
  </w:num>
  <w:num w:numId="17">
    <w:abstractNumId w:val="20"/>
  </w:num>
  <w:num w:numId="18">
    <w:abstractNumId w:val="26"/>
  </w:num>
  <w:num w:numId="19">
    <w:abstractNumId w:val="3"/>
  </w:num>
  <w:num w:numId="20">
    <w:abstractNumId w:val="23"/>
  </w:num>
  <w:num w:numId="21">
    <w:abstractNumId w:val="22"/>
  </w:num>
  <w:num w:numId="22">
    <w:abstractNumId w:val="11"/>
  </w:num>
  <w:num w:numId="23">
    <w:abstractNumId w:val="14"/>
  </w:num>
  <w:num w:numId="24">
    <w:abstractNumId w:val="9"/>
  </w:num>
  <w:num w:numId="25">
    <w:abstractNumId w:val="19"/>
  </w:num>
  <w:num w:numId="26">
    <w:abstractNumId w:val="0"/>
  </w:num>
  <w:num w:numId="27">
    <w:abstractNumId w:val="17"/>
  </w:num>
  <w:num w:numId="28">
    <w:abstractNumId w:val="21"/>
  </w:num>
  <w:num w:numId="29">
    <w:abstractNumId w:val="1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6F"/>
    <w:rsid w:val="0000453C"/>
    <w:rsid w:val="0000549C"/>
    <w:rsid w:val="00016073"/>
    <w:rsid w:val="0002062F"/>
    <w:rsid w:val="000206F9"/>
    <w:rsid w:val="0004570A"/>
    <w:rsid w:val="00055696"/>
    <w:rsid w:val="00060519"/>
    <w:rsid w:val="00060DEA"/>
    <w:rsid w:val="00067E39"/>
    <w:rsid w:val="00073197"/>
    <w:rsid w:val="00080B3B"/>
    <w:rsid w:val="000826C4"/>
    <w:rsid w:val="00093DE7"/>
    <w:rsid w:val="000960E0"/>
    <w:rsid w:val="000A3512"/>
    <w:rsid w:val="000B32E5"/>
    <w:rsid w:val="000B3E7D"/>
    <w:rsid w:val="000B5592"/>
    <w:rsid w:val="000E648E"/>
    <w:rsid w:val="000F520A"/>
    <w:rsid w:val="00105C6F"/>
    <w:rsid w:val="001068D6"/>
    <w:rsid w:val="0011052F"/>
    <w:rsid w:val="00113167"/>
    <w:rsid w:val="00115826"/>
    <w:rsid w:val="00116BFC"/>
    <w:rsid w:val="001204F2"/>
    <w:rsid w:val="00133125"/>
    <w:rsid w:val="001347D8"/>
    <w:rsid w:val="00136B05"/>
    <w:rsid w:val="00140D86"/>
    <w:rsid w:val="00157640"/>
    <w:rsid w:val="00172973"/>
    <w:rsid w:val="00180756"/>
    <w:rsid w:val="001844D1"/>
    <w:rsid w:val="0018688E"/>
    <w:rsid w:val="0019262C"/>
    <w:rsid w:val="001C0A7E"/>
    <w:rsid w:val="001C1F9D"/>
    <w:rsid w:val="001C2164"/>
    <w:rsid w:val="001C27B9"/>
    <w:rsid w:val="001D02F1"/>
    <w:rsid w:val="001D35AB"/>
    <w:rsid w:val="001D36E2"/>
    <w:rsid w:val="001D5114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5272E"/>
    <w:rsid w:val="00262A75"/>
    <w:rsid w:val="00265A38"/>
    <w:rsid w:val="00271995"/>
    <w:rsid w:val="002735AB"/>
    <w:rsid w:val="002A6083"/>
    <w:rsid w:val="002B1522"/>
    <w:rsid w:val="002B2B9E"/>
    <w:rsid w:val="002C2720"/>
    <w:rsid w:val="002C3C04"/>
    <w:rsid w:val="002C6248"/>
    <w:rsid w:val="002D689E"/>
    <w:rsid w:val="002F5B59"/>
    <w:rsid w:val="002F7C59"/>
    <w:rsid w:val="00301CF0"/>
    <w:rsid w:val="003038D5"/>
    <w:rsid w:val="003140AE"/>
    <w:rsid w:val="003226A2"/>
    <w:rsid w:val="00324713"/>
    <w:rsid w:val="003519E6"/>
    <w:rsid w:val="0037018D"/>
    <w:rsid w:val="003716CD"/>
    <w:rsid w:val="003877A7"/>
    <w:rsid w:val="003920E1"/>
    <w:rsid w:val="00394BCB"/>
    <w:rsid w:val="003A1145"/>
    <w:rsid w:val="003A2C6F"/>
    <w:rsid w:val="003A2DFA"/>
    <w:rsid w:val="003A3CFD"/>
    <w:rsid w:val="003A6CB3"/>
    <w:rsid w:val="003A7A31"/>
    <w:rsid w:val="003B1D55"/>
    <w:rsid w:val="003B479E"/>
    <w:rsid w:val="003B754D"/>
    <w:rsid w:val="003C1E09"/>
    <w:rsid w:val="003C6EB1"/>
    <w:rsid w:val="003C73A5"/>
    <w:rsid w:val="003D015A"/>
    <w:rsid w:val="003E2FED"/>
    <w:rsid w:val="003E387E"/>
    <w:rsid w:val="003F7500"/>
    <w:rsid w:val="004028A4"/>
    <w:rsid w:val="0041224C"/>
    <w:rsid w:val="00415425"/>
    <w:rsid w:val="00415B0A"/>
    <w:rsid w:val="00415DBE"/>
    <w:rsid w:val="00425F92"/>
    <w:rsid w:val="00427C9E"/>
    <w:rsid w:val="0043412C"/>
    <w:rsid w:val="0044330F"/>
    <w:rsid w:val="00443A75"/>
    <w:rsid w:val="00450346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6AA8"/>
    <w:rsid w:val="00492483"/>
    <w:rsid w:val="004A0272"/>
    <w:rsid w:val="004A13B5"/>
    <w:rsid w:val="004A1886"/>
    <w:rsid w:val="004A4B77"/>
    <w:rsid w:val="004B1659"/>
    <w:rsid w:val="004B2977"/>
    <w:rsid w:val="004C7EE6"/>
    <w:rsid w:val="004F52B8"/>
    <w:rsid w:val="005008B6"/>
    <w:rsid w:val="00501D26"/>
    <w:rsid w:val="005206FC"/>
    <w:rsid w:val="00524C03"/>
    <w:rsid w:val="00527AE4"/>
    <w:rsid w:val="0054098C"/>
    <w:rsid w:val="00546B62"/>
    <w:rsid w:val="00572F1A"/>
    <w:rsid w:val="00573B40"/>
    <w:rsid w:val="00585E3C"/>
    <w:rsid w:val="0059536F"/>
    <w:rsid w:val="00595DF3"/>
    <w:rsid w:val="005964D8"/>
    <w:rsid w:val="005A5F1C"/>
    <w:rsid w:val="005A6053"/>
    <w:rsid w:val="005A7562"/>
    <w:rsid w:val="005B2406"/>
    <w:rsid w:val="005B750E"/>
    <w:rsid w:val="005C4E08"/>
    <w:rsid w:val="005E780F"/>
    <w:rsid w:val="005F128B"/>
    <w:rsid w:val="005F45F4"/>
    <w:rsid w:val="005F5893"/>
    <w:rsid w:val="00606F0C"/>
    <w:rsid w:val="00622881"/>
    <w:rsid w:val="00624B0E"/>
    <w:rsid w:val="00632EDA"/>
    <w:rsid w:val="006426E7"/>
    <w:rsid w:val="00645892"/>
    <w:rsid w:val="00657453"/>
    <w:rsid w:val="00671FE3"/>
    <w:rsid w:val="00682F4E"/>
    <w:rsid w:val="00686990"/>
    <w:rsid w:val="00691732"/>
    <w:rsid w:val="006927D4"/>
    <w:rsid w:val="00692FEA"/>
    <w:rsid w:val="006A1914"/>
    <w:rsid w:val="006B0AE2"/>
    <w:rsid w:val="006C241D"/>
    <w:rsid w:val="006C3540"/>
    <w:rsid w:val="006D72A3"/>
    <w:rsid w:val="006E0D59"/>
    <w:rsid w:val="006F041E"/>
    <w:rsid w:val="006F48EA"/>
    <w:rsid w:val="006F5BD6"/>
    <w:rsid w:val="00700F9F"/>
    <w:rsid w:val="0071195D"/>
    <w:rsid w:val="0072543D"/>
    <w:rsid w:val="00731A7A"/>
    <w:rsid w:val="00742CF7"/>
    <w:rsid w:val="00755D3B"/>
    <w:rsid w:val="00761A40"/>
    <w:rsid w:val="0076682F"/>
    <w:rsid w:val="0077397C"/>
    <w:rsid w:val="0077449F"/>
    <w:rsid w:val="007901CB"/>
    <w:rsid w:val="00794C9F"/>
    <w:rsid w:val="007A21C3"/>
    <w:rsid w:val="007B2DFD"/>
    <w:rsid w:val="007D2DEC"/>
    <w:rsid w:val="00805DB0"/>
    <w:rsid w:val="00807215"/>
    <w:rsid w:val="00807409"/>
    <w:rsid w:val="00810AF4"/>
    <w:rsid w:val="00816ED5"/>
    <w:rsid w:val="008234C5"/>
    <w:rsid w:val="00823B0C"/>
    <w:rsid w:val="008330AB"/>
    <w:rsid w:val="00841394"/>
    <w:rsid w:val="008460C6"/>
    <w:rsid w:val="00850A48"/>
    <w:rsid w:val="008606FD"/>
    <w:rsid w:val="00861D4E"/>
    <w:rsid w:val="00863BA9"/>
    <w:rsid w:val="00867FDC"/>
    <w:rsid w:val="00873C10"/>
    <w:rsid w:val="00874299"/>
    <w:rsid w:val="008808C2"/>
    <w:rsid w:val="008A6F2A"/>
    <w:rsid w:val="008D5945"/>
    <w:rsid w:val="008E0982"/>
    <w:rsid w:val="008F5FF3"/>
    <w:rsid w:val="009129D1"/>
    <w:rsid w:val="009213C2"/>
    <w:rsid w:val="0093117C"/>
    <w:rsid w:val="00933AA7"/>
    <w:rsid w:val="00953EC8"/>
    <w:rsid w:val="00954326"/>
    <w:rsid w:val="00966AE3"/>
    <w:rsid w:val="009A44C4"/>
    <w:rsid w:val="009A476C"/>
    <w:rsid w:val="009B230C"/>
    <w:rsid w:val="009B630A"/>
    <w:rsid w:val="009D1AB3"/>
    <w:rsid w:val="009D667B"/>
    <w:rsid w:val="009F6CD6"/>
    <w:rsid w:val="00A0080D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CAB"/>
    <w:rsid w:val="00A72206"/>
    <w:rsid w:val="00A74479"/>
    <w:rsid w:val="00A92AB7"/>
    <w:rsid w:val="00A9753B"/>
    <w:rsid w:val="00AA198B"/>
    <w:rsid w:val="00AA6615"/>
    <w:rsid w:val="00AA71BD"/>
    <w:rsid w:val="00AB1482"/>
    <w:rsid w:val="00AB34FF"/>
    <w:rsid w:val="00AC474A"/>
    <w:rsid w:val="00AC6C52"/>
    <w:rsid w:val="00AD2C2A"/>
    <w:rsid w:val="00AD3021"/>
    <w:rsid w:val="00AE39C3"/>
    <w:rsid w:val="00AE4307"/>
    <w:rsid w:val="00AE5075"/>
    <w:rsid w:val="00B07874"/>
    <w:rsid w:val="00B21CD4"/>
    <w:rsid w:val="00B41990"/>
    <w:rsid w:val="00B53299"/>
    <w:rsid w:val="00B73411"/>
    <w:rsid w:val="00B956CF"/>
    <w:rsid w:val="00BA1A9F"/>
    <w:rsid w:val="00BB0A5F"/>
    <w:rsid w:val="00BB2018"/>
    <w:rsid w:val="00BB563E"/>
    <w:rsid w:val="00BB709A"/>
    <w:rsid w:val="00BC1113"/>
    <w:rsid w:val="00BD52BC"/>
    <w:rsid w:val="00BF47C3"/>
    <w:rsid w:val="00C02F7A"/>
    <w:rsid w:val="00C1019B"/>
    <w:rsid w:val="00C11ED4"/>
    <w:rsid w:val="00C27D8F"/>
    <w:rsid w:val="00C324C5"/>
    <w:rsid w:val="00C32810"/>
    <w:rsid w:val="00C36DF1"/>
    <w:rsid w:val="00C376D5"/>
    <w:rsid w:val="00C63D31"/>
    <w:rsid w:val="00C640B4"/>
    <w:rsid w:val="00C64C51"/>
    <w:rsid w:val="00C82160"/>
    <w:rsid w:val="00C92AF1"/>
    <w:rsid w:val="00C94155"/>
    <w:rsid w:val="00CA7EA5"/>
    <w:rsid w:val="00CC1C0F"/>
    <w:rsid w:val="00CD211A"/>
    <w:rsid w:val="00CF7327"/>
    <w:rsid w:val="00D04270"/>
    <w:rsid w:val="00D056A9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63B2B"/>
    <w:rsid w:val="00D76242"/>
    <w:rsid w:val="00D7707E"/>
    <w:rsid w:val="00D77BA0"/>
    <w:rsid w:val="00DA5F54"/>
    <w:rsid w:val="00DA7115"/>
    <w:rsid w:val="00DB644F"/>
    <w:rsid w:val="00DC2B69"/>
    <w:rsid w:val="00DC5171"/>
    <w:rsid w:val="00DD244A"/>
    <w:rsid w:val="00DD400B"/>
    <w:rsid w:val="00DD4617"/>
    <w:rsid w:val="00DD6D2A"/>
    <w:rsid w:val="00DF0C5B"/>
    <w:rsid w:val="00DF6CBF"/>
    <w:rsid w:val="00E02BCD"/>
    <w:rsid w:val="00E33B0E"/>
    <w:rsid w:val="00E3416F"/>
    <w:rsid w:val="00E37BC5"/>
    <w:rsid w:val="00E42E8C"/>
    <w:rsid w:val="00E46316"/>
    <w:rsid w:val="00E47D54"/>
    <w:rsid w:val="00E50D3A"/>
    <w:rsid w:val="00E52149"/>
    <w:rsid w:val="00E606E0"/>
    <w:rsid w:val="00E655B9"/>
    <w:rsid w:val="00E6586C"/>
    <w:rsid w:val="00E65DF2"/>
    <w:rsid w:val="00E73BB1"/>
    <w:rsid w:val="00E81EA8"/>
    <w:rsid w:val="00E8247E"/>
    <w:rsid w:val="00E9106C"/>
    <w:rsid w:val="00E92BB6"/>
    <w:rsid w:val="00E93DF5"/>
    <w:rsid w:val="00E95E36"/>
    <w:rsid w:val="00EA2E2F"/>
    <w:rsid w:val="00EB04F3"/>
    <w:rsid w:val="00EB535E"/>
    <w:rsid w:val="00EB72F1"/>
    <w:rsid w:val="00EB7FDA"/>
    <w:rsid w:val="00EC2BE6"/>
    <w:rsid w:val="00EC6FB5"/>
    <w:rsid w:val="00ED3006"/>
    <w:rsid w:val="00ED4CBA"/>
    <w:rsid w:val="00ED4D23"/>
    <w:rsid w:val="00EE59E4"/>
    <w:rsid w:val="00EF1D26"/>
    <w:rsid w:val="00F01FFF"/>
    <w:rsid w:val="00F04B61"/>
    <w:rsid w:val="00F05B41"/>
    <w:rsid w:val="00F06288"/>
    <w:rsid w:val="00F079B9"/>
    <w:rsid w:val="00F1076B"/>
    <w:rsid w:val="00F11BC6"/>
    <w:rsid w:val="00F13EAD"/>
    <w:rsid w:val="00F160DC"/>
    <w:rsid w:val="00F27EDA"/>
    <w:rsid w:val="00F362B3"/>
    <w:rsid w:val="00F41079"/>
    <w:rsid w:val="00F41BAA"/>
    <w:rsid w:val="00F530A2"/>
    <w:rsid w:val="00F55221"/>
    <w:rsid w:val="00F56F3D"/>
    <w:rsid w:val="00F81E17"/>
    <w:rsid w:val="00F86409"/>
    <w:rsid w:val="00F922A6"/>
    <w:rsid w:val="00FA5FD5"/>
    <w:rsid w:val="00FB673F"/>
    <w:rsid w:val="00FB716D"/>
    <w:rsid w:val="00FC141F"/>
    <w:rsid w:val="00FD5716"/>
    <w:rsid w:val="00FD6F84"/>
    <w:rsid w:val="00FD782D"/>
    <w:rsid w:val="00FE015C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4DC1-1ABA-4660-86F4-8FE82D0C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5</TotalTime>
  <Pages>2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UCA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</dc:creator>
  <cp:keywords/>
  <dc:description/>
  <cp:lastModifiedBy>UCA</cp:lastModifiedBy>
  <cp:revision>3</cp:revision>
  <cp:lastPrinted>2015-07-17T10:41:00Z</cp:lastPrinted>
  <dcterms:created xsi:type="dcterms:W3CDTF">2015-07-17T10:36:00Z</dcterms:created>
  <dcterms:modified xsi:type="dcterms:W3CDTF">2015-07-17T10:41:00Z</dcterms:modified>
</cp:coreProperties>
</file>