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E01" w:rsidRDefault="00AA6E01">
      <w:r>
        <w:t>INFORME SOBRE CAPACIDAD DOCENTE DEL ÁREA DE FILOLOGÍA INGLESA PARA HACER FRENTE A LA IMPLEMENTACIÓN DEL MÁSTER (LENGUAS MODERNAS)</w:t>
      </w:r>
    </w:p>
    <w:p w:rsidR="00AA6E01" w:rsidRDefault="00AA6E01" w:rsidP="00AA6E01">
      <w:r>
        <w:t>NECESIDADES DOCENTES DEMANDADAS POR EL PLAN DE ESTUDIOS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4961"/>
        <w:gridCol w:w="1276"/>
      </w:tblGrid>
      <w:tr w:rsidR="00AA6E01" w:rsidRPr="00AA6E01" w:rsidTr="00AD6C04">
        <w:tc>
          <w:tcPr>
            <w:tcW w:w="3227" w:type="dxa"/>
          </w:tcPr>
          <w:p w:rsidR="00AA6E01" w:rsidRPr="00AA6E01" w:rsidRDefault="00AA6E01" w:rsidP="00AA6E01">
            <w:pPr>
              <w:rPr>
                <w:sz w:val="18"/>
                <w:szCs w:val="18"/>
              </w:rPr>
            </w:pPr>
            <w:r w:rsidRPr="00AA6E01">
              <w:rPr>
                <w:sz w:val="18"/>
                <w:szCs w:val="18"/>
              </w:rPr>
              <w:t>MÓDULO COMÚN</w:t>
            </w:r>
          </w:p>
        </w:tc>
        <w:tc>
          <w:tcPr>
            <w:tcW w:w="4961" w:type="dxa"/>
          </w:tcPr>
          <w:p w:rsidR="00AA6E01" w:rsidRPr="00AA6E01" w:rsidRDefault="00AA6E01" w:rsidP="00AA6E01">
            <w:pPr>
              <w:rPr>
                <w:sz w:val="18"/>
                <w:szCs w:val="18"/>
              </w:rPr>
            </w:pPr>
            <w:r w:rsidRPr="00AA6E01">
              <w:rPr>
                <w:sz w:val="18"/>
                <w:szCs w:val="18"/>
              </w:rPr>
              <w:t>La proyección inter</w:t>
            </w:r>
            <w:r w:rsidR="00AD6C04">
              <w:rPr>
                <w:sz w:val="18"/>
                <w:szCs w:val="18"/>
              </w:rPr>
              <w:t xml:space="preserve">nacional del inglés </w:t>
            </w:r>
          </w:p>
        </w:tc>
        <w:tc>
          <w:tcPr>
            <w:tcW w:w="1276" w:type="dxa"/>
          </w:tcPr>
          <w:p w:rsidR="00AA6E01" w:rsidRPr="00AA6E01" w:rsidRDefault="00AD6C04" w:rsidP="00AA6E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  <w:proofErr w:type="spellStart"/>
            <w:r>
              <w:rPr>
                <w:sz w:val="18"/>
                <w:szCs w:val="18"/>
              </w:rPr>
              <w:t>cr</w:t>
            </w:r>
            <w:proofErr w:type="spellEnd"/>
          </w:p>
        </w:tc>
      </w:tr>
      <w:tr w:rsidR="00AD6C04" w:rsidRPr="00AA6E01" w:rsidTr="00AD6C04">
        <w:tc>
          <w:tcPr>
            <w:tcW w:w="3227" w:type="dxa"/>
            <w:vMerge w:val="restart"/>
          </w:tcPr>
          <w:p w:rsidR="00AD6C04" w:rsidRPr="00AA6E01" w:rsidRDefault="00AD6C04" w:rsidP="00AA6E01">
            <w:pPr>
              <w:rPr>
                <w:sz w:val="18"/>
                <w:szCs w:val="18"/>
              </w:rPr>
            </w:pPr>
            <w:r w:rsidRPr="00AA6E01">
              <w:rPr>
                <w:sz w:val="18"/>
                <w:szCs w:val="18"/>
              </w:rPr>
              <w:t>MÓDULO ESPECÍFICO (1): Comunicación, traducción y mediación</w:t>
            </w:r>
          </w:p>
          <w:p w:rsidR="00AD6C04" w:rsidRPr="00AA6E01" w:rsidRDefault="00AD6C04" w:rsidP="00AA6E01">
            <w:pPr>
              <w:rPr>
                <w:sz w:val="18"/>
                <w:szCs w:val="18"/>
              </w:rPr>
            </w:pPr>
          </w:p>
        </w:tc>
        <w:tc>
          <w:tcPr>
            <w:tcW w:w="4961" w:type="dxa"/>
          </w:tcPr>
          <w:p w:rsidR="00AD6C04" w:rsidRPr="00AA6E01" w:rsidRDefault="00AD6C04" w:rsidP="00AA6E01">
            <w:pPr>
              <w:rPr>
                <w:sz w:val="18"/>
                <w:szCs w:val="18"/>
              </w:rPr>
            </w:pPr>
            <w:r w:rsidRPr="00AA6E01">
              <w:rPr>
                <w:sz w:val="18"/>
                <w:szCs w:val="18"/>
              </w:rPr>
              <w:t>Técnicas de comunicación de traducción inglés/español/inglés (ámbito turís</w:t>
            </w:r>
            <w:r>
              <w:rPr>
                <w:sz w:val="18"/>
                <w:szCs w:val="18"/>
              </w:rPr>
              <w:t xml:space="preserve">tico y patrimonial) </w:t>
            </w:r>
          </w:p>
        </w:tc>
        <w:tc>
          <w:tcPr>
            <w:tcW w:w="1276" w:type="dxa"/>
          </w:tcPr>
          <w:p w:rsidR="00AD6C04" w:rsidRPr="00AD6C04" w:rsidRDefault="00AD6C04" w:rsidP="00AA6E01">
            <w:pPr>
              <w:rPr>
                <w:sz w:val="18"/>
                <w:szCs w:val="18"/>
              </w:rPr>
            </w:pPr>
            <w:r w:rsidRPr="00AD6C04">
              <w:rPr>
                <w:sz w:val="18"/>
                <w:szCs w:val="18"/>
              </w:rPr>
              <w:t>5cr</w:t>
            </w:r>
          </w:p>
        </w:tc>
      </w:tr>
      <w:tr w:rsidR="00AD6C04" w:rsidRPr="00AA6E01" w:rsidTr="00AD6C04">
        <w:tc>
          <w:tcPr>
            <w:tcW w:w="3227" w:type="dxa"/>
            <w:vMerge/>
          </w:tcPr>
          <w:p w:rsidR="00AD6C04" w:rsidRPr="00AA6E01" w:rsidRDefault="00AD6C04" w:rsidP="00AA6E01">
            <w:pPr>
              <w:rPr>
                <w:sz w:val="18"/>
                <w:szCs w:val="18"/>
              </w:rPr>
            </w:pPr>
          </w:p>
        </w:tc>
        <w:tc>
          <w:tcPr>
            <w:tcW w:w="4961" w:type="dxa"/>
          </w:tcPr>
          <w:p w:rsidR="00AD6C04" w:rsidRPr="00AA6E01" w:rsidRDefault="00AD6C04" w:rsidP="00AA6E01">
            <w:pPr>
              <w:rPr>
                <w:sz w:val="18"/>
                <w:szCs w:val="18"/>
              </w:rPr>
            </w:pPr>
            <w:r w:rsidRPr="00AA6E01">
              <w:rPr>
                <w:sz w:val="18"/>
                <w:szCs w:val="18"/>
              </w:rPr>
              <w:t>Técnicas de comunicación y de traducción inglés/español/inglés (transacciones comerciales y maríti</w:t>
            </w:r>
            <w:r>
              <w:rPr>
                <w:sz w:val="18"/>
                <w:szCs w:val="18"/>
              </w:rPr>
              <w:t>mas internacionales)</w:t>
            </w:r>
          </w:p>
          <w:p w:rsidR="00AD6C04" w:rsidRPr="00AA6E01" w:rsidRDefault="00AD6C04" w:rsidP="00AA6E0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D6C04" w:rsidRPr="00AA6E01" w:rsidRDefault="00AD6C04" w:rsidP="00AA6E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5cr</w:t>
            </w:r>
          </w:p>
        </w:tc>
      </w:tr>
      <w:tr w:rsidR="00AD6C04" w:rsidRPr="00AA6E01" w:rsidTr="00AD6C04">
        <w:tc>
          <w:tcPr>
            <w:tcW w:w="3227" w:type="dxa"/>
            <w:vMerge/>
          </w:tcPr>
          <w:p w:rsidR="00AD6C04" w:rsidRPr="00AA6E01" w:rsidRDefault="00AD6C04" w:rsidP="00AA6E01">
            <w:pPr>
              <w:rPr>
                <w:sz w:val="18"/>
                <w:szCs w:val="18"/>
              </w:rPr>
            </w:pPr>
          </w:p>
        </w:tc>
        <w:tc>
          <w:tcPr>
            <w:tcW w:w="4961" w:type="dxa"/>
          </w:tcPr>
          <w:p w:rsidR="00AD6C04" w:rsidRPr="00AD6C04" w:rsidRDefault="00AD6C04" w:rsidP="00AA6E01">
            <w:pPr>
              <w:rPr>
                <w:sz w:val="18"/>
                <w:szCs w:val="18"/>
              </w:rPr>
            </w:pPr>
            <w:r w:rsidRPr="00AD6C04">
              <w:rPr>
                <w:sz w:val="18"/>
                <w:szCs w:val="18"/>
              </w:rPr>
              <w:t>Mediación y estrategias de mediación intercultural en el ámbito anglófono</w:t>
            </w:r>
          </w:p>
        </w:tc>
        <w:tc>
          <w:tcPr>
            <w:tcW w:w="1276" w:type="dxa"/>
          </w:tcPr>
          <w:p w:rsidR="00AD6C04" w:rsidRPr="00AA6E01" w:rsidRDefault="00AD6C04" w:rsidP="00AA6E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5cr</w:t>
            </w:r>
          </w:p>
        </w:tc>
      </w:tr>
      <w:tr w:rsidR="00AD6C04" w:rsidRPr="00AA6E01" w:rsidTr="00AD6C04">
        <w:tc>
          <w:tcPr>
            <w:tcW w:w="3227" w:type="dxa"/>
            <w:vMerge w:val="restart"/>
          </w:tcPr>
          <w:p w:rsidR="00AD6C04" w:rsidRPr="00AD6C04" w:rsidRDefault="00AD6C04" w:rsidP="00AD6C04">
            <w:pPr>
              <w:rPr>
                <w:sz w:val="18"/>
                <w:szCs w:val="18"/>
              </w:rPr>
            </w:pPr>
            <w:r w:rsidRPr="00AD6C04">
              <w:rPr>
                <w:sz w:val="18"/>
                <w:szCs w:val="18"/>
              </w:rPr>
              <w:t>MÓDULO ESPECÍFICO (2): Investigación, aplicación e innovación</w:t>
            </w:r>
          </w:p>
          <w:p w:rsidR="00AD6C04" w:rsidRPr="00AA6E01" w:rsidRDefault="00AD6C04" w:rsidP="00AA6E01">
            <w:pPr>
              <w:rPr>
                <w:sz w:val="18"/>
                <w:szCs w:val="18"/>
              </w:rPr>
            </w:pPr>
          </w:p>
        </w:tc>
        <w:tc>
          <w:tcPr>
            <w:tcW w:w="4961" w:type="dxa"/>
          </w:tcPr>
          <w:p w:rsidR="00AD6C04" w:rsidRPr="00AD6C04" w:rsidRDefault="00AD6C04" w:rsidP="00AA6E01">
            <w:pPr>
              <w:rPr>
                <w:sz w:val="18"/>
                <w:szCs w:val="18"/>
              </w:rPr>
            </w:pPr>
            <w:r w:rsidRPr="00AD6C04">
              <w:rPr>
                <w:sz w:val="18"/>
                <w:szCs w:val="18"/>
              </w:rPr>
              <w:t>Dimensiones aplicadas del estudio de la lengua inglesa</w:t>
            </w:r>
          </w:p>
        </w:tc>
        <w:tc>
          <w:tcPr>
            <w:tcW w:w="1276" w:type="dxa"/>
          </w:tcPr>
          <w:p w:rsidR="00AD6C04" w:rsidRPr="00AA6E01" w:rsidRDefault="00AD6C04" w:rsidP="00AA6E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5cr</w:t>
            </w:r>
          </w:p>
        </w:tc>
      </w:tr>
      <w:tr w:rsidR="00AD6C04" w:rsidRPr="00AA6E01" w:rsidTr="00AD6C04">
        <w:tc>
          <w:tcPr>
            <w:tcW w:w="3227" w:type="dxa"/>
            <w:vMerge/>
          </w:tcPr>
          <w:p w:rsidR="00AD6C04" w:rsidRPr="00AA6E01" w:rsidRDefault="00AD6C04" w:rsidP="00AA6E01">
            <w:pPr>
              <w:rPr>
                <w:sz w:val="18"/>
                <w:szCs w:val="18"/>
              </w:rPr>
            </w:pPr>
          </w:p>
        </w:tc>
        <w:tc>
          <w:tcPr>
            <w:tcW w:w="4961" w:type="dxa"/>
          </w:tcPr>
          <w:p w:rsidR="00AD6C04" w:rsidRPr="00AD6C04" w:rsidRDefault="00AD6C04" w:rsidP="00AA6E01">
            <w:pPr>
              <w:rPr>
                <w:sz w:val="18"/>
                <w:szCs w:val="18"/>
              </w:rPr>
            </w:pPr>
            <w:r w:rsidRPr="00AD6C04">
              <w:rPr>
                <w:sz w:val="18"/>
                <w:szCs w:val="18"/>
              </w:rPr>
              <w:t>Aplicaciones instrumentales de la lingüística inglesa</w:t>
            </w:r>
          </w:p>
        </w:tc>
        <w:tc>
          <w:tcPr>
            <w:tcW w:w="1276" w:type="dxa"/>
          </w:tcPr>
          <w:p w:rsidR="00AD6C04" w:rsidRPr="00AA6E01" w:rsidRDefault="00AD6C04" w:rsidP="00AA6E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5cr</w:t>
            </w:r>
          </w:p>
        </w:tc>
      </w:tr>
      <w:tr w:rsidR="00AD6C04" w:rsidRPr="00AA6E01" w:rsidTr="00AD6C04">
        <w:tc>
          <w:tcPr>
            <w:tcW w:w="3227" w:type="dxa"/>
            <w:vMerge/>
          </w:tcPr>
          <w:p w:rsidR="00AD6C04" w:rsidRPr="00AA6E01" w:rsidRDefault="00AD6C04" w:rsidP="00AA6E01">
            <w:pPr>
              <w:rPr>
                <w:sz w:val="18"/>
                <w:szCs w:val="18"/>
              </w:rPr>
            </w:pPr>
          </w:p>
        </w:tc>
        <w:tc>
          <w:tcPr>
            <w:tcW w:w="4961" w:type="dxa"/>
          </w:tcPr>
          <w:p w:rsidR="00AD6C04" w:rsidRPr="00AD6C04" w:rsidRDefault="00AD6C04" w:rsidP="00AA6E01">
            <w:pPr>
              <w:rPr>
                <w:sz w:val="18"/>
                <w:szCs w:val="18"/>
              </w:rPr>
            </w:pPr>
            <w:r w:rsidRPr="00AD6C04">
              <w:rPr>
                <w:sz w:val="18"/>
                <w:szCs w:val="18"/>
              </w:rPr>
              <w:t xml:space="preserve">Espacios transculturales e identidades </w:t>
            </w:r>
            <w:proofErr w:type="spellStart"/>
            <w:r w:rsidRPr="00AD6C04">
              <w:rPr>
                <w:sz w:val="18"/>
                <w:szCs w:val="18"/>
              </w:rPr>
              <w:t>diaspóricas</w:t>
            </w:r>
            <w:proofErr w:type="spellEnd"/>
          </w:p>
        </w:tc>
        <w:tc>
          <w:tcPr>
            <w:tcW w:w="1276" w:type="dxa"/>
          </w:tcPr>
          <w:p w:rsidR="00AD6C04" w:rsidRPr="00AA6E01" w:rsidRDefault="00AD6C04" w:rsidP="00AA6E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5cr</w:t>
            </w:r>
          </w:p>
        </w:tc>
      </w:tr>
      <w:tr w:rsidR="00AD6C04" w:rsidRPr="00AA6E01" w:rsidTr="00AD6C04">
        <w:tc>
          <w:tcPr>
            <w:tcW w:w="3227" w:type="dxa"/>
            <w:vMerge/>
          </w:tcPr>
          <w:p w:rsidR="00AD6C04" w:rsidRPr="00AA6E01" w:rsidRDefault="00AD6C04" w:rsidP="00AA6E01">
            <w:pPr>
              <w:rPr>
                <w:sz w:val="18"/>
                <w:szCs w:val="18"/>
              </w:rPr>
            </w:pPr>
          </w:p>
        </w:tc>
        <w:tc>
          <w:tcPr>
            <w:tcW w:w="4961" w:type="dxa"/>
          </w:tcPr>
          <w:p w:rsidR="00AD6C04" w:rsidRPr="00AD6C04" w:rsidRDefault="00AD6C04" w:rsidP="00AA6E01">
            <w:pPr>
              <w:rPr>
                <w:color w:val="FF0000"/>
                <w:sz w:val="18"/>
                <w:szCs w:val="18"/>
              </w:rPr>
            </w:pPr>
            <w:r w:rsidRPr="00AD6C04">
              <w:rPr>
                <w:color w:val="FF0000"/>
                <w:sz w:val="18"/>
                <w:szCs w:val="18"/>
              </w:rPr>
              <w:t>Literatura y artes visuales</w:t>
            </w:r>
          </w:p>
        </w:tc>
        <w:tc>
          <w:tcPr>
            <w:tcW w:w="1276" w:type="dxa"/>
          </w:tcPr>
          <w:p w:rsidR="00AD6C04" w:rsidRPr="00AA6E01" w:rsidRDefault="00AD6C04" w:rsidP="00AA6E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5cr (</w:t>
            </w:r>
            <w:proofErr w:type="spellStart"/>
            <w:r>
              <w:rPr>
                <w:sz w:val="18"/>
                <w:szCs w:val="18"/>
              </w:rPr>
              <w:t>comp.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</w:tr>
      <w:tr w:rsidR="00AD6C04" w:rsidRPr="00AA6E01" w:rsidTr="00AD6C04">
        <w:tc>
          <w:tcPr>
            <w:tcW w:w="3227" w:type="dxa"/>
            <w:vMerge/>
          </w:tcPr>
          <w:p w:rsidR="00AD6C04" w:rsidRPr="00AA6E01" w:rsidRDefault="00AD6C04" w:rsidP="00AA6E01">
            <w:pPr>
              <w:rPr>
                <w:sz w:val="18"/>
                <w:szCs w:val="18"/>
              </w:rPr>
            </w:pPr>
          </w:p>
        </w:tc>
        <w:tc>
          <w:tcPr>
            <w:tcW w:w="4961" w:type="dxa"/>
          </w:tcPr>
          <w:p w:rsidR="00AD6C04" w:rsidRPr="00AD6C04" w:rsidRDefault="00AD6C04" w:rsidP="00AA6E01">
            <w:pPr>
              <w:rPr>
                <w:color w:val="FF0000"/>
                <w:sz w:val="18"/>
                <w:szCs w:val="18"/>
              </w:rPr>
            </w:pPr>
            <w:r w:rsidRPr="00AD6C04">
              <w:rPr>
                <w:color w:val="FF0000"/>
                <w:sz w:val="18"/>
                <w:szCs w:val="18"/>
              </w:rPr>
              <w:t>Intertextualidad</w:t>
            </w:r>
          </w:p>
        </w:tc>
        <w:tc>
          <w:tcPr>
            <w:tcW w:w="1276" w:type="dxa"/>
          </w:tcPr>
          <w:p w:rsidR="00AD6C04" w:rsidRPr="00AA6E01" w:rsidRDefault="00AD6C04" w:rsidP="00AA6E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5cr (</w:t>
            </w:r>
            <w:proofErr w:type="spellStart"/>
            <w:r>
              <w:rPr>
                <w:sz w:val="18"/>
                <w:szCs w:val="18"/>
              </w:rPr>
              <w:t>comp.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</w:tr>
      <w:tr w:rsidR="00AD6C04" w:rsidRPr="00AA6E01" w:rsidTr="00AD6C04">
        <w:tc>
          <w:tcPr>
            <w:tcW w:w="3227" w:type="dxa"/>
            <w:vMerge/>
          </w:tcPr>
          <w:p w:rsidR="00AD6C04" w:rsidRPr="00AA6E01" w:rsidRDefault="00AD6C04" w:rsidP="00AA6E01">
            <w:pPr>
              <w:rPr>
                <w:sz w:val="18"/>
                <w:szCs w:val="18"/>
              </w:rPr>
            </w:pPr>
          </w:p>
        </w:tc>
        <w:tc>
          <w:tcPr>
            <w:tcW w:w="4961" w:type="dxa"/>
          </w:tcPr>
          <w:p w:rsidR="00AD6C04" w:rsidRPr="00AD6C04" w:rsidRDefault="00AD6C04" w:rsidP="00AA6E01">
            <w:pPr>
              <w:rPr>
                <w:color w:val="FF0000"/>
                <w:sz w:val="18"/>
                <w:szCs w:val="18"/>
              </w:rPr>
            </w:pPr>
            <w:r w:rsidRPr="00AD6C04">
              <w:rPr>
                <w:color w:val="FF0000"/>
                <w:sz w:val="18"/>
                <w:szCs w:val="18"/>
              </w:rPr>
              <w:t>Literaturas y culturas europeas</w:t>
            </w:r>
          </w:p>
        </w:tc>
        <w:tc>
          <w:tcPr>
            <w:tcW w:w="1276" w:type="dxa"/>
          </w:tcPr>
          <w:p w:rsidR="00AD6C04" w:rsidRPr="00AA6E01" w:rsidRDefault="00AD6C04" w:rsidP="00AA6E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5cr (</w:t>
            </w:r>
            <w:proofErr w:type="spellStart"/>
            <w:r>
              <w:rPr>
                <w:sz w:val="18"/>
                <w:szCs w:val="18"/>
              </w:rPr>
              <w:t>comp.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</w:tr>
    </w:tbl>
    <w:p w:rsidR="00AA6E01" w:rsidRDefault="00AA6E01" w:rsidP="00AA6E01"/>
    <w:p w:rsidR="00AD6C04" w:rsidRDefault="00AD6C04" w:rsidP="00AA6E01">
      <w:r>
        <w:t>OPCIONES DE IMPLEMENTACIÓN:</w:t>
      </w:r>
    </w:p>
    <w:p w:rsidR="00AD6C04" w:rsidRDefault="00AD6C04" w:rsidP="00AD6C04">
      <w:pPr>
        <w:pStyle w:val="Prrafodelista"/>
        <w:numPr>
          <w:ilvl w:val="0"/>
          <w:numId w:val="2"/>
        </w:numPr>
      </w:pPr>
      <w:r>
        <w:t>OFERTA COMPLETA: 43.5 créditos</w:t>
      </w:r>
    </w:p>
    <w:p w:rsidR="00AD6C04" w:rsidRDefault="00AD6C04" w:rsidP="00AD6C04">
      <w:pPr>
        <w:pStyle w:val="Prrafodelista"/>
        <w:numPr>
          <w:ilvl w:val="0"/>
          <w:numId w:val="2"/>
        </w:numPr>
      </w:pPr>
      <w:r>
        <w:t>OFERTA PARCIAL: 21 créditos (módulo específico 1, más atractivo para los solicitantes)</w:t>
      </w:r>
    </w:p>
    <w:p w:rsidR="00AD3706" w:rsidRDefault="00AD3706" w:rsidP="00AD3706">
      <w:pPr>
        <w:pStyle w:val="Prrafodelista"/>
      </w:pPr>
    </w:p>
    <w:p w:rsidR="00AD6C04" w:rsidRDefault="00AD6C04" w:rsidP="00AD6C04">
      <w:r>
        <w:t>MODIFICACIONES EN LA CAPACIDAD DOCENTE DEL ÁREA DE FILOLOGÍA INGLESA</w:t>
      </w:r>
      <w:r w:rsidR="00AD3706">
        <w:t xml:space="preserve"> (2014-15):</w:t>
      </w:r>
    </w:p>
    <w:p w:rsidR="00AD6C04" w:rsidRDefault="00AD6C04" w:rsidP="00AD6C04">
      <w:pPr>
        <w:pStyle w:val="Prrafodelista"/>
        <w:numPr>
          <w:ilvl w:val="0"/>
          <w:numId w:val="3"/>
        </w:numPr>
      </w:pPr>
      <w:r>
        <w:t xml:space="preserve">AMPLIACIÓN DEL CREDITAJE DE PDI QUE NO CONSIGUIERON LOS SEXENIOS SOLICITADOS: </w:t>
      </w:r>
      <w:r w:rsidR="00AD3706">
        <w:t xml:space="preserve"> 3 </w:t>
      </w:r>
      <w:proofErr w:type="spellStart"/>
      <w:r w:rsidR="00AD3706">
        <w:t>PDIs</w:t>
      </w:r>
      <w:proofErr w:type="spellEnd"/>
      <w:r w:rsidR="00AD3706">
        <w:t xml:space="preserve"> (x 8 créditos= 24 créditos)</w:t>
      </w:r>
    </w:p>
    <w:p w:rsidR="00AD6C04" w:rsidRDefault="00AD6C04" w:rsidP="00AD6C04">
      <w:pPr>
        <w:pStyle w:val="Prrafodelista"/>
        <w:numPr>
          <w:ilvl w:val="0"/>
          <w:numId w:val="3"/>
        </w:numPr>
      </w:pPr>
      <w:r>
        <w:t xml:space="preserve">NORMALIZACIÓN DE LA CAPACIDAD DOCENTE DE EX CARGOS ACADÉMICOS: </w:t>
      </w:r>
    </w:p>
    <w:p w:rsidR="00AD6C04" w:rsidRDefault="00AD6C04" w:rsidP="00AD6C04">
      <w:pPr>
        <w:pStyle w:val="Prrafodelista"/>
      </w:pPr>
      <w:r>
        <w:t>Ex vicerrectora: + 27 créditos</w:t>
      </w:r>
    </w:p>
    <w:p w:rsidR="00AD6C04" w:rsidRDefault="00AD6C04" w:rsidP="00AD6C04">
      <w:pPr>
        <w:pStyle w:val="Prrafodelista"/>
      </w:pPr>
      <w:r>
        <w:t>Ex decana: + 22 créditos</w:t>
      </w:r>
    </w:p>
    <w:p w:rsidR="00AD6C04" w:rsidRDefault="00AD6C04" w:rsidP="00AD6C04">
      <w:pPr>
        <w:pStyle w:val="Prrafodelista"/>
      </w:pPr>
      <w:r>
        <w:t>Ex directora: + 16 créditos</w:t>
      </w:r>
    </w:p>
    <w:p w:rsidR="00AD3706" w:rsidRDefault="00AD3706" w:rsidP="00AD3706">
      <w:pPr>
        <w:pStyle w:val="Prrafodelista"/>
        <w:numPr>
          <w:ilvl w:val="0"/>
          <w:numId w:val="3"/>
        </w:numPr>
      </w:pPr>
      <w:r>
        <w:t xml:space="preserve">PÉRDIDA DE DOCENCIA EN LICENCIATURAS/DIPLOMATURAS: </w:t>
      </w:r>
    </w:p>
    <w:p w:rsidR="00AD3706" w:rsidRDefault="00AD3706" w:rsidP="00AD3706">
      <w:pPr>
        <w:pStyle w:val="Prrafodelista"/>
      </w:pPr>
      <w:r>
        <w:t>Inglés aplicado a la Publicidad y a las Relaciones Públicas (6 créditos)</w:t>
      </w:r>
    </w:p>
    <w:p w:rsidR="00AD3706" w:rsidRDefault="00AD3706" w:rsidP="00AD3706">
      <w:pPr>
        <w:pStyle w:val="Prrafodelista"/>
      </w:pPr>
      <w:r>
        <w:t xml:space="preserve">Inglés </w:t>
      </w:r>
      <w:proofErr w:type="spellStart"/>
      <w:r>
        <w:t>Radiomarítimo</w:t>
      </w:r>
      <w:proofErr w:type="spellEnd"/>
      <w:r>
        <w:t xml:space="preserve"> Avanzado (4.5 créditos)</w:t>
      </w:r>
    </w:p>
    <w:p w:rsidR="00AD3706" w:rsidRDefault="00AD3706" w:rsidP="00AD3706">
      <w:pPr>
        <w:pStyle w:val="Prrafodelista"/>
      </w:pPr>
      <w:r>
        <w:t>Inglés Técnico Marítimo Avanzado (4.5 créditos)</w:t>
      </w:r>
    </w:p>
    <w:p w:rsidR="00AD3706" w:rsidRDefault="00AD3706" w:rsidP="00AD3706"/>
    <w:p w:rsidR="00AD3706" w:rsidRDefault="00AD3706" w:rsidP="00AD3706">
      <w:r>
        <w:t>OBSERVACIONES</w:t>
      </w:r>
    </w:p>
    <w:p w:rsidR="00AA6E01" w:rsidRDefault="00AD3706" w:rsidP="00AD6C04">
      <w:r>
        <w:t>El área de Filología Inglesa de la Universidad de Cádiz, una vez actualizados los datos de su carga docente para el curso 2014-15 y atendiend</w:t>
      </w:r>
      <w:r w:rsidR="001C79C3">
        <w:t>o al interés mostrado por el área con respecto a la necesidad de proyectarse más allá de los Estudios de Grado</w:t>
      </w:r>
      <w:r>
        <w:t xml:space="preserve">, puede hacerse cargo de la docencia comprometida en el Máster (Lenguas Modernas) </w:t>
      </w:r>
      <w:r w:rsidR="001C79C3">
        <w:t xml:space="preserve">de manera que pueda resolverse el vacío existente en la actualidad en relación a estudios de Posgrado en estos ámbitos dentro de la Universidad de Cádiz y en la Facultad de Filosofía y Letras en concreto. </w:t>
      </w:r>
      <w:bookmarkStart w:id="0" w:name="_GoBack"/>
      <w:bookmarkEnd w:id="0"/>
    </w:p>
    <w:sectPr w:rsidR="00AA6E01" w:rsidSect="00AA6E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054D"/>
    <w:multiLevelType w:val="hybridMultilevel"/>
    <w:tmpl w:val="3C74C0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E3425"/>
    <w:multiLevelType w:val="hybridMultilevel"/>
    <w:tmpl w:val="42A2D3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E4B3F"/>
    <w:multiLevelType w:val="hybridMultilevel"/>
    <w:tmpl w:val="B62AF48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E01"/>
    <w:rsid w:val="001C79C3"/>
    <w:rsid w:val="00807ADE"/>
    <w:rsid w:val="00AA6E01"/>
    <w:rsid w:val="00AD3706"/>
    <w:rsid w:val="00AD6C04"/>
    <w:rsid w:val="00FA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6E01"/>
    <w:pPr>
      <w:ind w:left="720"/>
      <w:contextualSpacing/>
    </w:pPr>
  </w:style>
  <w:style w:type="table" w:styleId="Tablaconcuadrcula">
    <w:name w:val="Table Grid"/>
    <w:basedOn w:val="Tablanormal"/>
    <w:uiPriority w:val="59"/>
    <w:rsid w:val="00AA6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6E01"/>
    <w:pPr>
      <w:ind w:left="720"/>
      <w:contextualSpacing/>
    </w:pPr>
  </w:style>
  <w:style w:type="table" w:styleId="Tablaconcuadrcula">
    <w:name w:val="Table Grid"/>
    <w:basedOn w:val="Tablanormal"/>
    <w:uiPriority w:val="59"/>
    <w:rsid w:val="00AA6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pcswin8</dc:creator>
  <cp:lastModifiedBy>pcswin8</cp:lastModifiedBy>
  <cp:revision>2</cp:revision>
  <dcterms:created xsi:type="dcterms:W3CDTF">2014-01-07T10:12:00Z</dcterms:created>
  <dcterms:modified xsi:type="dcterms:W3CDTF">2014-01-07T10:12:00Z</dcterms:modified>
</cp:coreProperties>
</file>