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50" w:rsidRDefault="00171250"/>
    <w:tbl>
      <w:tblPr>
        <w:tblW w:w="9780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4570EF" w:rsidRPr="00A307D4" w:rsidTr="00064349">
        <w:trPr>
          <w:trHeight w:val="12735"/>
        </w:trPr>
        <w:tc>
          <w:tcPr>
            <w:tcW w:w="9780" w:type="dxa"/>
          </w:tcPr>
          <w:p w:rsidR="00064349" w:rsidRPr="00064349" w:rsidRDefault="00064349" w:rsidP="00064349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pct20" w:color="000000" w:fill="FFFFFF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064349" w:rsidRPr="00064349" w:rsidRDefault="00064349" w:rsidP="00064349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pct20" w:color="000000" w:fill="FFFFFF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64349">
              <w:rPr>
                <w:b/>
                <w:sz w:val="22"/>
                <w:szCs w:val="22"/>
                <w:lang w:val="es-ES_tradnl"/>
              </w:rPr>
              <w:t xml:space="preserve">PROPUESTA  A CONSEJO DE GOBIERNO </w:t>
            </w:r>
          </w:p>
          <w:p w:rsidR="00064349" w:rsidRPr="00064349" w:rsidRDefault="00064349" w:rsidP="00064349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pct20" w:color="000000" w:fill="FFFFFF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64349">
              <w:rPr>
                <w:b/>
                <w:sz w:val="22"/>
                <w:szCs w:val="22"/>
                <w:lang w:val="es-ES_tradnl"/>
              </w:rPr>
              <w:t xml:space="preserve">ACUERDO DE </w:t>
            </w:r>
            <w:r w:rsidRPr="00064349">
              <w:rPr>
                <w:b/>
                <w:sz w:val="22"/>
                <w:szCs w:val="22"/>
              </w:rPr>
              <w:t>ASIGNACIÓN Y ENCARGO DOCENTES DE LA ASIGNATURA “DIRECCIÓN INTERNACIONAL DE LA EMPRESA FAMILIAR” DEL GRADO EN ADMINISTRACIÓN Y DIRECCIÓN DE EMPRESAS</w:t>
            </w:r>
          </w:p>
          <w:p w:rsidR="00064349" w:rsidRDefault="00064349" w:rsidP="00064349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pct20" w:color="000000" w:fill="FFFFFF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064349" w:rsidRDefault="00064349" w:rsidP="00064349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onsejo de Gobierno, en </w:t>
            </w:r>
            <w:r w:rsidR="00AC0BF0">
              <w:rPr>
                <w:rFonts w:cs="Verdana"/>
                <w:bCs/>
                <w:sz w:val="22"/>
                <w:szCs w:val="22"/>
              </w:rPr>
              <w:t>sesión de 29 de mayo de 2009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</w:t>
            </w:r>
            <w:r w:rsidR="0045308D">
              <w:rPr>
                <w:rFonts w:cs="Verdana"/>
                <w:bCs/>
                <w:sz w:val="22"/>
                <w:szCs w:val="22"/>
              </w:rPr>
              <w:t>s</w:t>
            </w:r>
            <w:r>
              <w:rPr>
                <w:rFonts w:cs="Verdana"/>
                <w:bCs/>
                <w:sz w:val="22"/>
                <w:szCs w:val="22"/>
              </w:rPr>
              <w:t xml:space="preserve"> de las asignaturas del Grado en </w:t>
            </w:r>
            <w:r w:rsidR="003F6A43">
              <w:rPr>
                <w:rFonts w:cs="Verdana"/>
                <w:bCs/>
                <w:sz w:val="22"/>
                <w:szCs w:val="22"/>
              </w:rPr>
              <w:t>Administración y Dirección de Empresas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</w:t>
            </w:r>
            <w:r w:rsidR="00AC0BF0">
              <w:rPr>
                <w:rFonts w:cs="Verdana"/>
                <w:bCs/>
                <w:sz w:val="22"/>
                <w:szCs w:val="22"/>
              </w:rPr>
              <w:t>º 94, de 17 de junio de 2009).</w:t>
            </w:r>
            <w:r w:rsidR="003F6A43">
              <w:rPr>
                <w:rFonts w:cs="Verdana"/>
                <w:bCs/>
                <w:sz w:val="22"/>
                <w:szCs w:val="22"/>
              </w:rPr>
              <w:t xml:space="preserve">          </w:t>
            </w:r>
          </w:p>
          <w:p w:rsidR="001C1F9D" w:rsidRDefault="001C1F9D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171250" w:rsidRDefault="003F6A43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Con fecha </w:t>
            </w:r>
            <w:r w:rsidR="00AC0BF0">
              <w:rPr>
                <w:rFonts w:cs="Verdana"/>
                <w:bCs/>
                <w:sz w:val="22"/>
                <w:szCs w:val="22"/>
              </w:rPr>
              <w:t>16 de diciembre de 2014</w:t>
            </w:r>
            <w:r>
              <w:rPr>
                <w:rFonts w:cs="Verdana"/>
                <w:bCs/>
                <w:sz w:val="22"/>
                <w:szCs w:val="22"/>
              </w:rPr>
              <w:t xml:space="preserve"> el Consejo de Gobierno aprobó la modificación de la memoria del Grado de Administración y Dirección de Empresas, que recog</w:t>
            </w:r>
            <w:r w:rsidR="005C71D6">
              <w:rPr>
                <w:rFonts w:cs="Verdana"/>
                <w:bCs/>
                <w:sz w:val="22"/>
                <w:szCs w:val="22"/>
              </w:rPr>
              <w:t>e</w:t>
            </w:r>
            <w:r>
              <w:rPr>
                <w:rFonts w:cs="Verdana"/>
                <w:bCs/>
                <w:sz w:val="22"/>
                <w:szCs w:val="22"/>
              </w:rPr>
              <w:t xml:space="preserve"> la inclusión de una Mención en Dirección en Negocios Internaciones (International Business Management) </w:t>
            </w:r>
            <w:r w:rsidR="002E377B">
              <w:rPr>
                <w:rFonts w:cs="Verdana"/>
                <w:bCs/>
                <w:sz w:val="22"/>
                <w:szCs w:val="22"/>
              </w:rPr>
              <w:t>conformada por cinco asignaturas</w:t>
            </w:r>
            <w:r w:rsidR="00AC0BF0">
              <w:rPr>
                <w:rFonts w:cs="Verdana"/>
                <w:bCs/>
                <w:sz w:val="22"/>
                <w:szCs w:val="22"/>
              </w:rPr>
              <w:t>.</w:t>
            </w:r>
            <w:r w:rsidR="005C71D6"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171250">
              <w:rPr>
                <w:rFonts w:cs="Verdana"/>
                <w:bCs/>
                <w:sz w:val="22"/>
                <w:szCs w:val="22"/>
              </w:rPr>
              <w:t>La Agencia Andaluza del Conocimiento aprobó dicha modificación, según informe favorable de fecha 25 de septiembre de 2015.</w:t>
            </w:r>
          </w:p>
          <w:p w:rsidR="00AC0BF0" w:rsidRDefault="00AC0BF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4570EF" w:rsidRDefault="005C71D6" w:rsidP="003D015A">
            <w:pPr>
              <w:ind w:left="397"/>
              <w:jc w:val="both"/>
              <w:rPr>
                <w:sz w:val="22"/>
                <w:lang w:val="es-ES_tradnl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De cuatro de las cinco asignaturas se ha aprobado en sesiones de Consejo de Gobierno de 4 de mayo y 21 de junio de 2016 la asignación y encargo docentes (BOUCA números 208 y 212, de 13 de mayo y 30 de junio de 2016 respectivamente), quedando pendiente la asignatura </w:t>
            </w:r>
            <w:r w:rsidRPr="008D2E9C">
              <w:rPr>
                <w:rFonts w:cs="Verdana"/>
                <w:bCs/>
                <w:sz w:val="22"/>
                <w:szCs w:val="22"/>
              </w:rPr>
              <w:t>21506049- Dirección Internacional de la Empresa Familiar</w:t>
            </w:r>
            <w:r>
              <w:rPr>
                <w:rFonts w:cs="Verdana"/>
                <w:bCs/>
                <w:i/>
                <w:sz w:val="22"/>
                <w:szCs w:val="22"/>
              </w:rPr>
              <w:t xml:space="preserve"> (International Management of </w:t>
            </w:r>
            <w:proofErr w:type="spellStart"/>
            <w:r>
              <w:rPr>
                <w:rFonts w:cs="Verdana"/>
                <w:bCs/>
                <w:i/>
                <w:sz w:val="22"/>
                <w:szCs w:val="22"/>
              </w:rPr>
              <w:t>Family</w:t>
            </w:r>
            <w:proofErr w:type="spellEnd"/>
            <w:r>
              <w:rPr>
                <w:rFonts w:cs="Verdana"/>
                <w:bCs/>
                <w:i/>
                <w:sz w:val="22"/>
                <w:szCs w:val="22"/>
              </w:rPr>
              <w:t xml:space="preserve"> Business). </w:t>
            </w:r>
            <w:r w:rsidR="00AC0BF0">
              <w:rPr>
                <w:rFonts w:cs="Verdana"/>
                <w:bCs/>
                <w:sz w:val="22"/>
                <w:szCs w:val="22"/>
              </w:rPr>
              <w:t xml:space="preserve">La Junta de Facultad de la Facultad de Ciencias Económicas y Empresariales, en sesión extraordinaria de fecha </w:t>
            </w:r>
            <w:r w:rsidR="008D2E9C">
              <w:rPr>
                <w:rFonts w:cs="Verdana"/>
                <w:bCs/>
                <w:sz w:val="22"/>
                <w:szCs w:val="22"/>
              </w:rPr>
              <w:t>5</w:t>
            </w:r>
            <w:r w:rsidR="00AC0BF0">
              <w:rPr>
                <w:rFonts w:cs="Verdana"/>
                <w:bCs/>
                <w:sz w:val="22"/>
                <w:szCs w:val="22"/>
              </w:rPr>
              <w:t xml:space="preserve"> de </w:t>
            </w:r>
            <w:r w:rsidR="008D2E9C">
              <w:rPr>
                <w:rFonts w:cs="Verdana"/>
                <w:bCs/>
                <w:sz w:val="22"/>
                <w:szCs w:val="22"/>
              </w:rPr>
              <w:t xml:space="preserve">abril </w:t>
            </w:r>
            <w:r w:rsidR="00AC0BF0">
              <w:rPr>
                <w:rFonts w:cs="Verdana"/>
                <w:bCs/>
                <w:sz w:val="22"/>
                <w:szCs w:val="22"/>
              </w:rPr>
              <w:t>de 201</w:t>
            </w:r>
            <w:r w:rsidR="008D2E9C">
              <w:rPr>
                <w:rFonts w:cs="Verdana"/>
                <w:bCs/>
                <w:sz w:val="22"/>
                <w:szCs w:val="22"/>
              </w:rPr>
              <w:t>7</w:t>
            </w:r>
            <w:r w:rsidR="0030792E">
              <w:rPr>
                <w:rFonts w:cs="Verdana"/>
                <w:bCs/>
                <w:sz w:val="22"/>
                <w:szCs w:val="22"/>
              </w:rPr>
              <w:t>,</w:t>
            </w:r>
            <w:r w:rsidR="00AC0BF0">
              <w:rPr>
                <w:rFonts w:cs="Verdana"/>
                <w:bCs/>
                <w:sz w:val="22"/>
                <w:szCs w:val="22"/>
              </w:rPr>
              <w:t xml:space="preserve"> aprobó la asignación y encargo docente</w:t>
            </w:r>
            <w:r w:rsidR="0045308D">
              <w:rPr>
                <w:rFonts w:cs="Verdana"/>
                <w:bCs/>
                <w:sz w:val="22"/>
                <w:szCs w:val="22"/>
              </w:rPr>
              <w:t>s</w:t>
            </w:r>
            <w:r w:rsidR="00AC0BF0">
              <w:rPr>
                <w:rFonts w:cs="Verdana"/>
                <w:bCs/>
                <w:sz w:val="22"/>
                <w:szCs w:val="22"/>
              </w:rPr>
              <w:t xml:space="preserve"> de </w:t>
            </w:r>
            <w:r w:rsidR="00B40516">
              <w:rPr>
                <w:rFonts w:cs="Verdana"/>
                <w:bCs/>
                <w:sz w:val="22"/>
                <w:szCs w:val="22"/>
              </w:rPr>
              <w:t xml:space="preserve">la citada </w:t>
            </w:r>
            <w:r w:rsidR="00064349">
              <w:rPr>
                <w:rFonts w:cs="Verdana"/>
                <w:bCs/>
                <w:sz w:val="22"/>
                <w:szCs w:val="22"/>
              </w:rPr>
              <w:t xml:space="preserve">asignatura al </w:t>
            </w:r>
            <w:r w:rsidR="004071A3">
              <w:rPr>
                <w:rFonts w:cs="Verdana"/>
                <w:bCs/>
                <w:sz w:val="22"/>
                <w:szCs w:val="22"/>
              </w:rPr>
              <w:t xml:space="preserve">área </w:t>
            </w:r>
            <w:r w:rsidR="008D2E9C">
              <w:rPr>
                <w:rFonts w:cs="Verdana"/>
                <w:bCs/>
                <w:sz w:val="22"/>
                <w:szCs w:val="22"/>
              </w:rPr>
              <w:t xml:space="preserve">Organización de Empresas </w:t>
            </w:r>
            <w:r w:rsidR="00171250">
              <w:rPr>
                <w:rFonts w:cs="Verdana"/>
                <w:bCs/>
                <w:sz w:val="22"/>
                <w:szCs w:val="22"/>
              </w:rPr>
              <w:t>(</w:t>
            </w:r>
            <w:r w:rsidR="004071A3">
              <w:rPr>
                <w:rFonts w:cs="Verdana"/>
                <w:bCs/>
                <w:sz w:val="22"/>
                <w:szCs w:val="22"/>
              </w:rPr>
              <w:t xml:space="preserve">Departamento de </w:t>
            </w:r>
            <w:r w:rsidR="008D2E9C">
              <w:rPr>
                <w:rFonts w:cs="Verdana"/>
                <w:bCs/>
                <w:sz w:val="22"/>
                <w:szCs w:val="22"/>
              </w:rPr>
              <w:t>Organización de Empresas)</w:t>
            </w:r>
            <w:r w:rsidR="000C37CA">
              <w:rPr>
                <w:rFonts w:cs="Verdana"/>
                <w:bCs/>
                <w:sz w:val="22"/>
                <w:szCs w:val="22"/>
              </w:rPr>
              <w:t xml:space="preserve">. </w:t>
            </w:r>
          </w:p>
          <w:p w:rsidR="00171250" w:rsidRPr="00A307D4" w:rsidRDefault="00171250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171250" w:rsidRDefault="00171250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Por todo ello, se propone la asignación y encargo docente</w:t>
            </w:r>
            <w:r w:rsidR="0045308D">
              <w:rPr>
                <w:rFonts w:cs="Verdana"/>
                <w:sz w:val="22"/>
                <w:szCs w:val="22"/>
              </w:rPr>
              <w:t>s</w:t>
            </w:r>
            <w:r>
              <w:rPr>
                <w:rFonts w:cs="Verdana"/>
                <w:sz w:val="22"/>
                <w:szCs w:val="22"/>
              </w:rPr>
              <w:t xml:space="preserve"> de</w:t>
            </w:r>
            <w:r w:rsidR="00D65D26">
              <w:rPr>
                <w:rFonts w:cs="Verdana"/>
                <w:sz w:val="22"/>
                <w:szCs w:val="22"/>
              </w:rPr>
              <w:t xml:space="preserve"> la </w:t>
            </w:r>
            <w:r w:rsidR="008D2E9C">
              <w:rPr>
                <w:rFonts w:cs="Verdana"/>
                <w:sz w:val="22"/>
                <w:szCs w:val="22"/>
              </w:rPr>
              <w:t>a</w:t>
            </w:r>
            <w:r w:rsidR="00D65D26">
              <w:rPr>
                <w:rFonts w:cs="Verdana"/>
                <w:sz w:val="22"/>
                <w:szCs w:val="22"/>
              </w:rPr>
              <w:t xml:space="preserve">signatura de la Mención </w:t>
            </w:r>
            <w:r w:rsidR="00D65D26">
              <w:rPr>
                <w:rFonts w:cs="Verdana"/>
                <w:bCs/>
                <w:sz w:val="22"/>
                <w:szCs w:val="22"/>
              </w:rPr>
              <w:t>en Dirección en Negocios Internaciones</w:t>
            </w:r>
            <w:bookmarkStart w:id="0" w:name="_GoBack"/>
            <w:bookmarkEnd w:id="0"/>
            <w:r w:rsidR="00D65D26">
              <w:rPr>
                <w:rFonts w:cs="Verdana"/>
                <w:sz w:val="22"/>
                <w:szCs w:val="22"/>
              </w:rPr>
              <w:t xml:space="preserve"> </w:t>
            </w:r>
            <w:r w:rsidR="00820926">
              <w:rPr>
                <w:rFonts w:cs="Verdana"/>
                <w:sz w:val="22"/>
                <w:szCs w:val="22"/>
              </w:rPr>
              <w:t xml:space="preserve">del Grado en Administración y Dirección de Empresas, </w:t>
            </w:r>
            <w:r w:rsidR="00D65D26">
              <w:rPr>
                <w:rFonts w:cs="Verdana"/>
                <w:sz w:val="22"/>
                <w:szCs w:val="22"/>
              </w:rPr>
              <w:t xml:space="preserve">aprobada por la Facultad de </w:t>
            </w:r>
            <w:r w:rsidR="00D65D26">
              <w:rPr>
                <w:rFonts w:cs="Verdana"/>
                <w:sz w:val="22"/>
                <w:szCs w:val="22"/>
              </w:rPr>
              <w:lastRenderedPageBreak/>
              <w:t xml:space="preserve">Ciencias Económicas y Empresariales, </w:t>
            </w:r>
            <w:r w:rsidR="002735AB">
              <w:rPr>
                <w:rFonts w:cs="Verdana"/>
                <w:sz w:val="22"/>
                <w:szCs w:val="22"/>
              </w:rPr>
              <w:t xml:space="preserve">según se </w:t>
            </w:r>
            <w:r w:rsidR="004A4B77">
              <w:rPr>
                <w:rFonts w:cs="Verdana"/>
                <w:sz w:val="22"/>
                <w:szCs w:val="22"/>
              </w:rPr>
              <w:t xml:space="preserve"> recoge a con</w:t>
            </w:r>
            <w:r>
              <w:rPr>
                <w:rFonts w:cs="Verdana"/>
                <w:sz w:val="22"/>
                <w:szCs w:val="22"/>
              </w:rPr>
              <w:t>tinuación:</w:t>
            </w:r>
            <w:r w:rsidR="00171250">
              <w:rPr>
                <w:rFonts w:cs="Verdana"/>
                <w:sz w:val="22"/>
                <w:szCs w:val="22"/>
              </w:rPr>
              <w:t xml:space="preserve">    </w:t>
            </w: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171250" w:rsidRDefault="00171250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tbl>
            <w:tblPr>
              <w:tblStyle w:val="Tablaconcuadrcula"/>
              <w:tblW w:w="4818" w:type="pct"/>
              <w:tblInd w:w="350" w:type="dxa"/>
              <w:tblLook w:val="04A0" w:firstRow="1" w:lastRow="0" w:firstColumn="1" w:lastColumn="0" w:noHBand="0" w:noVBand="1"/>
            </w:tblPr>
            <w:tblGrid>
              <w:gridCol w:w="3685"/>
              <w:gridCol w:w="566"/>
              <w:gridCol w:w="2695"/>
              <w:gridCol w:w="2333"/>
            </w:tblGrid>
            <w:tr w:rsidR="00D65D26" w:rsidRPr="00AC0BF0" w:rsidTr="0030792E">
              <w:tc>
                <w:tcPr>
                  <w:tcW w:w="1986" w:type="pct"/>
                  <w:shd w:val="clear" w:color="auto" w:fill="D9D9D9" w:themeFill="background1" w:themeFillShade="D9"/>
                </w:tcPr>
                <w:p w:rsidR="00D65D26" w:rsidRPr="00AC0BF0" w:rsidRDefault="00D65D26" w:rsidP="007F7BA2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ASIGNATURA</w:t>
                  </w:r>
                </w:p>
              </w:tc>
              <w:tc>
                <w:tcPr>
                  <w:tcW w:w="305" w:type="pct"/>
                  <w:shd w:val="clear" w:color="auto" w:fill="D9D9D9" w:themeFill="background1" w:themeFillShade="D9"/>
                </w:tcPr>
                <w:p w:rsidR="00D65D26" w:rsidRPr="00AC0BF0" w:rsidRDefault="00D65D26" w:rsidP="007F7BA2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CR.</w:t>
                  </w:r>
                </w:p>
              </w:tc>
              <w:tc>
                <w:tcPr>
                  <w:tcW w:w="1452" w:type="pct"/>
                  <w:shd w:val="clear" w:color="auto" w:fill="D9D9D9" w:themeFill="background1" w:themeFillShade="D9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ASIGNACIÓN DOCENTE</w:t>
                  </w:r>
                </w:p>
              </w:tc>
              <w:tc>
                <w:tcPr>
                  <w:tcW w:w="1257" w:type="pct"/>
                  <w:shd w:val="clear" w:color="auto" w:fill="D9D9D9" w:themeFill="background1" w:themeFillShade="D9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ENCARGO DOCENTE</w:t>
                  </w:r>
                </w:p>
              </w:tc>
            </w:tr>
            <w:tr w:rsidR="0030792E" w:rsidRPr="00AC0BF0" w:rsidTr="007F7BA2">
              <w:tc>
                <w:tcPr>
                  <w:tcW w:w="1986" w:type="pct"/>
                </w:tcPr>
                <w:p w:rsidR="0030792E" w:rsidRPr="0045308D" w:rsidRDefault="008D2E9C" w:rsidP="00171250">
                  <w:pPr>
                    <w:rPr>
                      <w:rFonts w:cs="Verdana"/>
                      <w:bCs/>
                      <w:szCs w:val="20"/>
                    </w:rPr>
                  </w:pPr>
                  <w:r w:rsidRPr="0045308D">
                    <w:rPr>
                      <w:rFonts w:cs="Verdana"/>
                      <w:bCs/>
                      <w:szCs w:val="20"/>
                    </w:rPr>
                    <w:t>21506049- Dirección Internacional de la Empresa Familiar</w:t>
                  </w:r>
                  <w:r w:rsidRPr="0045308D">
                    <w:rPr>
                      <w:rFonts w:cs="Verdana"/>
                      <w:bCs/>
                      <w:i/>
                      <w:szCs w:val="20"/>
                    </w:rPr>
                    <w:t xml:space="preserve"> (International Management of </w:t>
                  </w:r>
                  <w:proofErr w:type="spellStart"/>
                  <w:r w:rsidRPr="0045308D">
                    <w:rPr>
                      <w:rFonts w:cs="Verdana"/>
                      <w:bCs/>
                      <w:i/>
                      <w:szCs w:val="20"/>
                    </w:rPr>
                    <w:t>Family</w:t>
                  </w:r>
                  <w:proofErr w:type="spellEnd"/>
                  <w:r w:rsidRPr="0045308D">
                    <w:rPr>
                      <w:rFonts w:cs="Verdana"/>
                      <w:bCs/>
                      <w:i/>
                      <w:szCs w:val="20"/>
                    </w:rPr>
                    <w:t xml:space="preserve"> Business)</w:t>
                  </w:r>
                </w:p>
              </w:tc>
              <w:tc>
                <w:tcPr>
                  <w:tcW w:w="305" w:type="pct"/>
                </w:tcPr>
                <w:p w:rsidR="0030792E" w:rsidRPr="0045308D" w:rsidRDefault="0045308D" w:rsidP="00B86ADF">
                  <w:pPr>
                    <w:jc w:val="center"/>
                    <w:rPr>
                      <w:rFonts w:cs="Verdana"/>
                      <w:bCs/>
                      <w:szCs w:val="20"/>
                    </w:rPr>
                  </w:pPr>
                  <w:r w:rsidRPr="0045308D">
                    <w:rPr>
                      <w:rFonts w:cs="Verdana"/>
                      <w:bCs/>
                      <w:szCs w:val="20"/>
                    </w:rPr>
                    <w:t>6</w:t>
                  </w:r>
                </w:p>
              </w:tc>
              <w:tc>
                <w:tcPr>
                  <w:tcW w:w="1452" w:type="pct"/>
                </w:tcPr>
                <w:p w:rsidR="00B86ADF" w:rsidRPr="0045308D" w:rsidRDefault="008D2E9C" w:rsidP="007F7BA2">
                  <w:pPr>
                    <w:rPr>
                      <w:rFonts w:cs="Verdana"/>
                      <w:bCs/>
                      <w:szCs w:val="20"/>
                    </w:rPr>
                  </w:pPr>
                  <w:r w:rsidRPr="0045308D">
                    <w:rPr>
                      <w:rFonts w:cs="Verdana"/>
                      <w:bCs/>
                      <w:szCs w:val="20"/>
                    </w:rPr>
                    <w:t>Organización de Empresas (Dpto. Organización de Empresas)</w:t>
                  </w:r>
                </w:p>
              </w:tc>
              <w:tc>
                <w:tcPr>
                  <w:tcW w:w="1257" w:type="pct"/>
                </w:tcPr>
                <w:p w:rsidR="0030792E" w:rsidRPr="0045308D" w:rsidRDefault="008D2E9C" w:rsidP="00B86ADF">
                  <w:pPr>
                    <w:rPr>
                      <w:rFonts w:cs="Verdana"/>
                      <w:bCs/>
                      <w:szCs w:val="20"/>
                    </w:rPr>
                  </w:pPr>
                  <w:r w:rsidRPr="0045308D">
                    <w:rPr>
                      <w:rFonts w:cs="Verdana"/>
                      <w:bCs/>
                      <w:szCs w:val="20"/>
                    </w:rPr>
                    <w:t>Organización de Empresas (Dpto. Organización de Empresas)</w:t>
                  </w:r>
                </w:p>
              </w:tc>
            </w:tr>
          </w:tbl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 w:rsidR="004530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B86ADF">
              <w:rPr>
                <w:sz w:val="22"/>
                <w:szCs w:val="22"/>
              </w:rPr>
              <w:t>ju</w:t>
            </w:r>
            <w:r w:rsidR="0045308D">
              <w:rPr>
                <w:sz w:val="22"/>
                <w:szCs w:val="22"/>
              </w:rPr>
              <w:t>l</w:t>
            </w:r>
            <w:r w:rsidR="00B86ADF">
              <w:rPr>
                <w:sz w:val="22"/>
                <w:szCs w:val="22"/>
              </w:rPr>
              <w:t>io</w:t>
            </w:r>
            <w:r w:rsidRPr="00A307D4">
              <w:rPr>
                <w:sz w:val="22"/>
                <w:szCs w:val="22"/>
              </w:rPr>
              <w:t xml:space="preserve"> de 201</w:t>
            </w:r>
            <w:r w:rsidR="0045308D">
              <w:rPr>
                <w:sz w:val="22"/>
                <w:szCs w:val="22"/>
              </w:rPr>
              <w:t>7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064349">
      <w:headerReference w:type="even" r:id="rId9"/>
      <w:headerReference w:type="default" r:id="rId10"/>
      <w:headerReference w:type="first" r:id="rId11"/>
      <w:pgSz w:w="11906" w:h="16838" w:code="9"/>
      <w:pgMar w:top="737" w:right="851" w:bottom="1191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51" w:rsidRDefault="00175251">
      <w:r>
        <w:separator/>
      </w:r>
    </w:p>
  </w:endnote>
  <w:endnote w:type="continuationSeparator" w:id="0">
    <w:p w:rsidR="00175251" w:rsidRDefault="0017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51" w:rsidRDefault="00175251">
      <w:r>
        <w:separator/>
      </w:r>
    </w:p>
  </w:footnote>
  <w:footnote w:type="continuationSeparator" w:id="0">
    <w:p w:rsidR="00175251" w:rsidRDefault="0017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 wp14:anchorId="5030C4B1" wp14:editId="79F694D0">
          <wp:extent cx="2057400" cy="942975"/>
          <wp:effectExtent l="0" t="0" r="0" b="9525"/>
          <wp:docPr id="4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7"/>
      <w:gridCol w:w="193"/>
      <w:gridCol w:w="3047"/>
      <w:gridCol w:w="193"/>
      <w:gridCol w:w="3278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570EF" w:rsidRDefault="00B53299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3B7D997" wp14:editId="3F232A3B">
                <wp:extent cx="2057400" cy="942975"/>
                <wp:effectExtent l="0" t="0" r="0" b="9525"/>
                <wp:docPr id="42" name="Imagen 4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4317F200" wp14:editId="08ABB84E">
                <wp:extent cx="2057400" cy="942975"/>
                <wp:effectExtent l="0" t="0" r="0" b="9525"/>
                <wp:docPr id="4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3ECA34B2" wp14:editId="6E545885">
                <wp:extent cx="38100" cy="942975"/>
                <wp:effectExtent l="0" t="0" r="0" b="9525"/>
                <wp:docPr id="4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16"/>
  </w:num>
  <w:num w:numId="5">
    <w:abstractNumId w:val="5"/>
  </w:num>
  <w:num w:numId="6">
    <w:abstractNumId w:val="29"/>
  </w:num>
  <w:num w:numId="7">
    <w:abstractNumId w:val="2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27"/>
  </w:num>
  <w:num w:numId="16">
    <w:abstractNumId w:val="25"/>
  </w:num>
  <w:num w:numId="17">
    <w:abstractNumId w:val="20"/>
  </w:num>
  <w:num w:numId="18">
    <w:abstractNumId w:val="26"/>
  </w:num>
  <w:num w:numId="19">
    <w:abstractNumId w:val="3"/>
  </w:num>
  <w:num w:numId="20">
    <w:abstractNumId w:val="23"/>
  </w:num>
  <w:num w:numId="21">
    <w:abstractNumId w:val="22"/>
  </w:num>
  <w:num w:numId="22">
    <w:abstractNumId w:val="11"/>
  </w:num>
  <w:num w:numId="23">
    <w:abstractNumId w:val="14"/>
  </w:num>
  <w:num w:numId="24">
    <w:abstractNumId w:val="9"/>
  </w:num>
  <w:num w:numId="25">
    <w:abstractNumId w:val="19"/>
  </w:num>
  <w:num w:numId="26">
    <w:abstractNumId w:val="0"/>
  </w:num>
  <w:num w:numId="27">
    <w:abstractNumId w:val="17"/>
  </w:num>
  <w:num w:numId="28">
    <w:abstractNumId w:val="21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570A"/>
    <w:rsid w:val="00055696"/>
    <w:rsid w:val="00060519"/>
    <w:rsid w:val="00060DEA"/>
    <w:rsid w:val="00064349"/>
    <w:rsid w:val="00067E39"/>
    <w:rsid w:val="00073197"/>
    <w:rsid w:val="00080B3B"/>
    <w:rsid w:val="000826C4"/>
    <w:rsid w:val="00093DE7"/>
    <w:rsid w:val="000960E0"/>
    <w:rsid w:val="000A3512"/>
    <w:rsid w:val="000B32E5"/>
    <w:rsid w:val="000B3E7D"/>
    <w:rsid w:val="000B5592"/>
    <w:rsid w:val="000C37CA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1250"/>
    <w:rsid w:val="00172973"/>
    <w:rsid w:val="00175251"/>
    <w:rsid w:val="00180756"/>
    <w:rsid w:val="001844D1"/>
    <w:rsid w:val="0018688E"/>
    <w:rsid w:val="0019262C"/>
    <w:rsid w:val="001C0A7E"/>
    <w:rsid w:val="001C1F9D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735AB"/>
    <w:rsid w:val="002A6083"/>
    <w:rsid w:val="002B1522"/>
    <w:rsid w:val="002B2B9E"/>
    <w:rsid w:val="002C2720"/>
    <w:rsid w:val="002C3C04"/>
    <w:rsid w:val="002C6248"/>
    <w:rsid w:val="002D689E"/>
    <w:rsid w:val="002E377B"/>
    <w:rsid w:val="002F5B59"/>
    <w:rsid w:val="002F7C59"/>
    <w:rsid w:val="00301CF0"/>
    <w:rsid w:val="003038D5"/>
    <w:rsid w:val="0030792E"/>
    <w:rsid w:val="003140AE"/>
    <w:rsid w:val="003204DF"/>
    <w:rsid w:val="003226A2"/>
    <w:rsid w:val="00324713"/>
    <w:rsid w:val="00326C01"/>
    <w:rsid w:val="00344B29"/>
    <w:rsid w:val="003519E6"/>
    <w:rsid w:val="0037018D"/>
    <w:rsid w:val="003716CD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754D"/>
    <w:rsid w:val="003C1E09"/>
    <w:rsid w:val="003C6EB1"/>
    <w:rsid w:val="003C73A5"/>
    <w:rsid w:val="003D015A"/>
    <w:rsid w:val="003E2FED"/>
    <w:rsid w:val="003E387E"/>
    <w:rsid w:val="003F6A43"/>
    <w:rsid w:val="003F7500"/>
    <w:rsid w:val="004028A4"/>
    <w:rsid w:val="004071A3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50346"/>
    <w:rsid w:val="0045308D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A4B77"/>
    <w:rsid w:val="004B1659"/>
    <w:rsid w:val="004B2977"/>
    <w:rsid w:val="004C7EE6"/>
    <w:rsid w:val="004E00F1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8671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C71D6"/>
    <w:rsid w:val="005E780F"/>
    <w:rsid w:val="005F128B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901CB"/>
    <w:rsid w:val="00794C9F"/>
    <w:rsid w:val="007A0CAA"/>
    <w:rsid w:val="007A21C3"/>
    <w:rsid w:val="007B2DFD"/>
    <w:rsid w:val="007D2DEC"/>
    <w:rsid w:val="00805DB0"/>
    <w:rsid w:val="00807215"/>
    <w:rsid w:val="00807409"/>
    <w:rsid w:val="00810AF4"/>
    <w:rsid w:val="00816ED5"/>
    <w:rsid w:val="00820926"/>
    <w:rsid w:val="008234C5"/>
    <w:rsid w:val="00823B0C"/>
    <w:rsid w:val="008330AB"/>
    <w:rsid w:val="00841394"/>
    <w:rsid w:val="008460C6"/>
    <w:rsid w:val="00850A48"/>
    <w:rsid w:val="008606FD"/>
    <w:rsid w:val="00861D4E"/>
    <w:rsid w:val="00863BA9"/>
    <w:rsid w:val="00867FDC"/>
    <w:rsid w:val="00873C10"/>
    <w:rsid w:val="00874299"/>
    <w:rsid w:val="008808C2"/>
    <w:rsid w:val="008A6F2A"/>
    <w:rsid w:val="008D2E9C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C0BF0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0516"/>
    <w:rsid w:val="00B41990"/>
    <w:rsid w:val="00B53299"/>
    <w:rsid w:val="00B73411"/>
    <w:rsid w:val="00B86ADF"/>
    <w:rsid w:val="00B956CF"/>
    <w:rsid w:val="00BA1A9F"/>
    <w:rsid w:val="00BB0A5F"/>
    <w:rsid w:val="00BB2018"/>
    <w:rsid w:val="00BB563E"/>
    <w:rsid w:val="00BB709A"/>
    <w:rsid w:val="00BC0EF2"/>
    <w:rsid w:val="00BC1113"/>
    <w:rsid w:val="00BD52BC"/>
    <w:rsid w:val="00BF47C3"/>
    <w:rsid w:val="00C02F7A"/>
    <w:rsid w:val="00C1019B"/>
    <w:rsid w:val="00C11ED4"/>
    <w:rsid w:val="00C27D8F"/>
    <w:rsid w:val="00C324C5"/>
    <w:rsid w:val="00C32810"/>
    <w:rsid w:val="00C36DF1"/>
    <w:rsid w:val="00C376D5"/>
    <w:rsid w:val="00C63D31"/>
    <w:rsid w:val="00C640B4"/>
    <w:rsid w:val="00C64C51"/>
    <w:rsid w:val="00C82160"/>
    <w:rsid w:val="00C92AF1"/>
    <w:rsid w:val="00C94155"/>
    <w:rsid w:val="00CA7EA5"/>
    <w:rsid w:val="00CC1C0F"/>
    <w:rsid w:val="00CD211A"/>
    <w:rsid w:val="00CF1BEF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65D26"/>
    <w:rsid w:val="00D76242"/>
    <w:rsid w:val="00D7707E"/>
    <w:rsid w:val="00D77BA0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0D3A"/>
    <w:rsid w:val="00E52149"/>
    <w:rsid w:val="00E606E0"/>
    <w:rsid w:val="00E607B3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F01FFF"/>
    <w:rsid w:val="00F04B61"/>
    <w:rsid w:val="00F05B41"/>
    <w:rsid w:val="00F06288"/>
    <w:rsid w:val="00F079B9"/>
    <w:rsid w:val="00F1076B"/>
    <w:rsid w:val="00F11BC6"/>
    <w:rsid w:val="00F13EAD"/>
    <w:rsid w:val="00F160DC"/>
    <w:rsid w:val="00F27EDA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38DA-8E27-4157-89FB-3415596D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1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</dc:creator>
  <cp:lastModifiedBy>Rosa Pardo</cp:lastModifiedBy>
  <cp:revision>2</cp:revision>
  <cp:lastPrinted>2017-07-14T08:58:00Z</cp:lastPrinted>
  <dcterms:created xsi:type="dcterms:W3CDTF">2017-07-14T08:59:00Z</dcterms:created>
  <dcterms:modified xsi:type="dcterms:W3CDTF">2017-07-14T08:59:00Z</dcterms:modified>
</cp:coreProperties>
</file>