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0"/>
      </w:tblGrid>
      <w:tr w:rsidR="004570EF" w:rsidRPr="00A307D4" w:rsidTr="007752AB">
        <w:trPr>
          <w:trHeight w:val="1739"/>
        </w:trPr>
        <w:tc>
          <w:tcPr>
            <w:tcW w:w="9780" w:type="dxa"/>
          </w:tcPr>
          <w:p w:rsidR="004570EF" w:rsidRDefault="004570EF" w:rsidP="003D015A">
            <w:pPr>
              <w:shd w:val="clear" w:color="auto" w:fill="E0E0E0"/>
              <w:ind w:left="397"/>
              <w:jc w:val="center"/>
              <w:rPr>
                <w:b/>
                <w:sz w:val="22"/>
                <w:lang w:val="es-ES_tradnl"/>
              </w:rPr>
            </w:pPr>
            <w:r>
              <w:rPr>
                <w:b/>
                <w:sz w:val="22"/>
                <w:szCs w:val="22"/>
                <w:lang w:val="es-ES_tradnl"/>
              </w:rPr>
              <w:t xml:space="preserve"> </w:t>
            </w:r>
          </w:p>
          <w:p w:rsidR="004570EF" w:rsidRPr="00A307D4" w:rsidRDefault="004570EF" w:rsidP="003D015A">
            <w:pPr>
              <w:shd w:val="clear" w:color="auto" w:fill="E0E0E0"/>
              <w:ind w:left="397"/>
              <w:jc w:val="center"/>
              <w:rPr>
                <w:b/>
                <w:sz w:val="22"/>
                <w:lang w:val="es-ES_tradnl"/>
              </w:rPr>
            </w:pPr>
            <w:r w:rsidRPr="00A307D4">
              <w:rPr>
                <w:b/>
                <w:sz w:val="22"/>
                <w:szCs w:val="22"/>
                <w:lang w:val="es-ES_tradnl"/>
              </w:rPr>
              <w:t>PROPUESTA  A CONSEJO DE GOBIERNO</w:t>
            </w:r>
          </w:p>
          <w:p w:rsidR="00F26EEE" w:rsidRDefault="004570EF" w:rsidP="003D015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E0E0E0"/>
              <w:ind w:left="397"/>
              <w:jc w:val="center"/>
              <w:rPr>
                <w:sz w:val="22"/>
                <w:szCs w:val="22"/>
              </w:rPr>
            </w:pPr>
            <w:r w:rsidRPr="00A307D4">
              <w:rPr>
                <w:sz w:val="22"/>
                <w:szCs w:val="22"/>
              </w:rPr>
              <w:t xml:space="preserve">ACUERDO DE </w:t>
            </w:r>
            <w:r w:rsidR="00301522">
              <w:rPr>
                <w:sz w:val="22"/>
                <w:szCs w:val="22"/>
              </w:rPr>
              <w:t xml:space="preserve">ASIGNACIÓN Y </w:t>
            </w:r>
            <w:r>
              <w:rPr>
                <w:sz w:val="22"/>
                <w:szCs w:val="22"/>
              </w:rPr>
              <w:t>ENCARGO DOCENTE</w:t>
            </w:r>
            <w:r w:rsidR="00F26EEE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DE LA</w:t>
            </w:r>
            <w:r w:rsidR="00F26EEE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ASIGNATURA</w:t>
            </w:r>
            <w:r w:rsidR="00F26EEE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“</w:t>
            </w:r>
            <w:r w:rsidR="00301522">
              <w:rPr>
                <w:sz w:val="22"/>
                <w:szCs w:val="22"/>
              </w:rPr>
              <w:t>ARGUMENTAC</w:t>
            </w:r>
            <w:r w:rsidR="00F26EEE">
              <w:rPr>
                <w:sz w:val="22"/>
                <w:szCs w:val="22"/>
              </w:rPr>
              <w:t>I</w:t>
            </w:r>
            <w:r w:rsidR="00301522">
              <w:rPr>
                <w:sz w:val="22"/>
                <w:szCs w:val="22"/>
              </w:rPr>
              <w:t>ÓN JURÍDICA”</w:t>
            </w:r>
            <w:r w:rsidR="00DD244A">
              <w:rPr>
                <w:sz w:val="22"/>
                <w:szCs w:val="22"/>
              </w:rPr>
              <w:t xml:space="preserve"> </w:t>
            </w:r>
            <w:r w:rsidR="00F26EEE">
              <w:rPr>
                <w:sz w:val="22"/>
                <w:szCs w:val="22"/>
              </w:rPr>
              <w:t xml:space="preserve"> Y “DERECHO PROCESAL III ” </w:t>
            </w:r>
          </w:p>
          <w:p w:rsidR="004570EF" w:rsidRDefault="004570EF" w:rsidP="003D015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E0E0E0"/>
              <w:ind w:left="39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DEL GRADO EN </w:t>
            </w:r>
            <w:r w:rsidR="00F27EDA">
              <w:rPr>
                <w:sz w:val="22"/>
                <w:szCs w:val="22"/>
              </w:rPr>
              <w:t>DERECHO</w:t>
            </w:r>
          </w:p>
          <w:p w:rsidR="004570EF" w:rsidRPr="00A307D4" w:rsidRDefault="004570EF" w:rsidP="003D015A">
            <w:pPr>
              <w:shd w:val="clear" w:color="auto" w:fill="E0E0E0"/>
              <w:ind w:left="397"/>
              <w:rPr>
                <w:sz w:val="22"/>
                <w:lang w:val="es-ES_tradnl"/>
              </w:rPr>
            </w:pPr>
          </w:p>
          <w:p w:rsidR="004570EF" w:rsidRDefault="004570EF" w:rsidP="003D015A">
            <w:pPr>
              <w:ind w:left="397"/>
              <w:rPr>
                <w:b/>
                <w:sz w:val="22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1.- EXPOSICIÓN DE ANTECEDENTES:</w:t>
            </w:r>
          </w:p>
          <w:p w:rsidR="004570EF" w:rsidRDefault="004570EF" w:rsidP="003D015A">
            <w:pPr>
              <w:ind w:left="397"/>
              <w:jc w:val="both"/>
              <w:rPr>
                <w:sz w:val="22"/>
              </w:rPr>
            </w:pPr>
          </w:p>
          <w:p w:rsidR="004570EF" w:rsidRDefault="004570EF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570EF" w:rsidRPr="00D56A2F" w:rsidRDefault="004570EF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>El C</w:t>
            </w:r>
            <w:r w:rsidR="002C6248">
              <w:rPr>
                <w:rFonts w:cs="Verdana"/>
                <w:bCs/>
                <w:sz w:val="22"/>
                <w:szCs w:val="22"/>
              </w:rPr>
              <w:t>onsejo de Gobierno, en su reuniones de 26 de febrero de 2010 y de 3 de marzo de 2011</w:t>
            </w:r>
            <w:r>
              <w:rPr>
                <w:rFonts w:cs="Verdana"/>
                <w:bCs/>
                <w:sz w:val="22"/>
                <w:szCs w:val="22"/>
              </w:rPr>
              <w:t xml:space="preserve"> aprobó la asignación y encargo docente de las asignaturas del Grado en </w:t>
            </w:r>
            <w:r w:rsidR="002C6248">
              <w:rPr>
                <w:rFonts w:cs="Verdana"/>
                <w:bCs/>
                <w:sz w:val="22"/>
                <w:szCs w:val="22"/>
              </w:rPr>
              <w:t>Derecho</w:t>
            </w:r>
            <w:r>
              <w:rPr>
                <w:rFonts w:cs="Verdana"/>
                <w:bCs/>
                <w:sz w:val="22"/>
                <w:szCs w:val="22"/>
              </w:rPr>
              <w:t xml:space="preserve"> (BOUCA </w:t>
            </w:r>
            <w:r w:rsidR="002C6248">
              <w:rPr>
                <w:rFonts w:cs="Verdana"/>
                <w:bCs/>
                <w:sz w:val="22"/>
                <w:szCs w:val="22"/>
              </w:rPr>
              <w:t>números 104 y 118  de 14 de abril de 2010 y 1 de abril de 2011</w:t>
            </w:r>
            <w:r w:rsidR="003B5329">
              <w:rPr>
                <w:rFonts w:cs="Verdana"/>
                <w:bCs/>
                <w:sz w:val="22"/>
                <w:szCs w:val="22"/>
              </w:rPr>
              <w:t>)</w:t>
            </w:r>
            <w:r w:rsidR="001C1F9D">
              <w:rPr>
                <w:rFonts w:cs="Verdana"/>
                <w:bCs/>
                <w:sz w:val="22"/>
                <w:szCs w:val="22"/>
              </w:rPr>
              <w:t>.</w:t>
            </w:r>
            <w:r w:rsidR="0018688E">
              <w:rPr>
                <w:rFonts w:cs="Verdana"/>
                <w:bCs/>
                <w:sz w:val="22"/>
                <w:szCs w:val="22"/>
              </w:rPr>
              <w:t xml:space="preserve"> </w:t>
            </w:r>
            <w:r>
              <w:rPr>
                <w:rFonts w:cs="Verdana"/>
                <w:bCs/>
                <w:sz w:val="22"/>
                <w:szCs w:val="22"/>
              </w:rPr>
              <w:t>En</w:t>
            </w:r>
            <w:r w:rsidR="002C6248">
              <w:rPr>
                <w:rFonts w:cs="Verdana"/>
                <w:bCs/>
                <w:sz w:val="22"/>
                <w:szCs w:val="22"/>
              </w:rPr>
              <w:t xml:space="preserve"> el acuerdo de 3 de marzo se recogían las asignaturas de 2º a 4º curso, entre las que se encontraba</w:t>
            </w:r>
            <w:r w:rsidR="00F26EEE">
              <w:rPr>
                <w:rFonts w:cs="Verdana"/>
                <w:bCs/>
                <w:sz w:val="22"/>
                <w:szCs w:val="22"/>
              </w:rPr>
              <w:t>n</w:t>
            </w:r>
            <w:r w:rsidR="002C6248">
              <w:rPr>
                <w:rFonts w:cs="Verdana"/>
                <w:bCs/>
                <w:sz w:val="22"/>
                <w:szCs w:val="22"/>
              </w:rPr>
              <w:t xml:space="preserve"> “</w:t>
            </w:r>
            <w:r w:rsidR="00301522">
              <w:rPr>
                <w:rFonts w:cs="Verdana"/>
                <w:bCs/>
                <w:sz w:val="22"/>
                <w:szCs w:val="22"/>
              </w:rPr>
              <w:t>Técnicas Jurídicas”</w:t>
            </w:r>
            <w:r w:rsidR="005A5F1C">
              <w:rPr>
                <w:rFonts w:cs="Verdana"/>
                <w:bCs/>
                <w:sz w:val="22"/>
                <w:szCs w:val="22"/>
              </w:rPr>
              <w:t xml:space="preserve">, </w:t>
            </w:r>
            <w:r w:rsidR="0041224C">
              <w:rPr>
                <w:rFonts w:cs="Verdana"/>
                <w:bCs/>
                <w:sz w:val="22"/>
                <w:szCs w:val="22"/>
              </w:rPr>
              <w:t>o</w:t>
            </w:r>
            <w:r w:rsidR="00301522">
              <w:rPr>
                <w:rFonts w:cs="Verdana"/>
                <w:bCs/>
                <w:sz w:val="22"/>
                <w:szCs w:val="22"/>
              </w:rPr>
              <w:t xml:space="preserve">bligatoria de 6 </w:t>
            </w:r>
            <w:r w:rsidR="005A5F1C">
              <w:rPr>
                <w:rFonts w:cs="Verdana"/>
                <w:bCs/>
                <w:sz w:val="22"/>
                <w:szCs w:val="22"/>
              </w:rPr>
              <w:t>créditos,</w:t>
            </w:r>
            <w:r w:rsidR="002C6248">
              <w:rPr>
                <w:rFonts w:cs="Verdana"/>
                <w:bCs/>
                <w:sz w:val="22"/>
                <w:szCs w:val="22"/>
              </w:rPr>
              <w:t xml:space="preserve"> con la asignación y encargo docentes compartida al 50% por las áreas de conocimiento </w:t>
            </w:r>
            <w:r w:rsidR="002C6248" w:rsidRPr="005A5F1C">
              <w:rPr>
                <w:rFonts w:cs="Verdana"/>
                <w:bCs/>
                <w:i/>
                <w:sz w:val="22"/>
                <w:szCs w:val="22"/>
              </w:rPr>
              <w:t>“</w:t>
            </w:r>
            <w:r w:rsidR="00301522">
              <w:rPr>
                <w:rFonts w:cs="Verdana"/>
                <w:bCs/>
                <w:i/>
                <w:sz w:val="22"/>
                <w:szCs w:val="22"/>
              </w:rPr>
              <w:t>Filosofía del Derecho”</w:t>
            </w:r>
            <w:r w:rsidR="001C1F9D" w:rsidRPr="005A5F1C">
              <w:rPr>
                <w:rFonts w:cs="Verdana"/>
                <w:bCs/>
                <w:i/>
                <w:sz w:val="22"/>
                <w:szCs w:val="22"/>
              </w:rPr>
              <w:t xml:space="preserve"> y “</w:t>
            </w:r>
            <w:r w:rsidR="00301522">
              <w:rPr>
                <w:rFonts w:cs="Verdana"/>
                <w:bCs/>
                <w:i/>
                <w:sz w:val="22"/>
                <w:szCs w:val="22"/>
              </w:rPr>
              <w:t>Derecho Procesal”</w:t>
            </w:r>
            <w:r w:rsidR="001C1F9D" w:rsidRPr="005A5F1C">
              <w:rPr>
                <w:rFonts w:cs="Verdana"/>
                <w:bCs/>
                <w:i/>
                <w:sz w:val="22"/>
                <w:szCs w:val="22"/>
              </w:rPr>
              <w:t>,</w:t>
            </w:r>
            <w:r w:rsidR="001C1F9D">
              <w:rPr>
                <w:rFonts w:cs="Verdana"/>
                <w:bCs/>
                <w:sz w:val="22"/>
                <w:szCs w:val="22"/>
              </w:rPr>
              <w:t xml:space="preserve"> de los Departamentos Derecho Público </w:t>
            </w:r>
            <w:r w:rsidR="00301522">
              <w:rPr>
                <w:rFonts w:cs="Verdana"/>
                <w:bCs/>
                <w:sz w:val="22"/>
                <w:szCs w:val="22"/>
              </w:rPr>
              <w:t xml:space="preserve">y Derecho Internacional Público, Penal y Procesal </w:t>
            </w:r>
            <w:r w:rsidR="001C1F9D">
              <w:rPr>
                <w:rFonts w:cs="Verdana"/>
                <w:bCs/>
                <w:sz w:val="22"/>
                <w:szCs w:val="22"/>
              </w:rPr>
              <w:t>respectivamente</w:t>
            </w:r>
            <w:r w:rsidR="00232A74">
              <w:rPr>
                <w:rFonts w:cs="Verdana"/>
                <w:bCs/>
                <w:sz w:val="22"/>
                <w:szCs w:val="22"/>
              </w:rPr>
              <w:t xml:space="preserve">, </w:t>
            </w:r>
            <w:r w:rsidR="001A1154">
              <w:rPr>
                <w:rFonts w:cs="Verdana"/>
                <w:bCs/>
                <w:sz w:val="22"/>
                <w:szCs w:val="22"/>
              </w:rPr>
              <w:t xml:space="preserve">y </w:t>
            </w:r>
            <w:r w:rsidR="00D56A2F">
              <w:rPr>
                <w:rFonts w:cs="Verdana"/>
                <w:bCs/>
                <w:sz w:val="22"/>
                <w:szCs w:val="22"/>
              </w:rPr>
              <w:t xml:space="preserve"> “Derecho Procesal III”, obligatoria de 3 créditos, con la asignación y encargo docentes al área </w:t>
            </w:r>
            <w:r w:rsidR="00D56A2F" w:rsidRPr="00D56A2F">
              <w:rPr>
                <w:rFonts w:cs="Verdana"/>
                <w:bCs/>
                <w:i/>
                <w:sz w:val="22"/>
                <w:szCs w:val="22"/>
              </w:rPr>
              <w:t>“Derecho Procesal”</w:t>
            </w:r>
            <w:r w:rsidR="00D56A2F">
              <w:rPr>
                <w:rFonts w:cs="Verdana"/>
                <w:bCs/>
                <w:i/>
                <w:sz w:val="22"/>
                <w:szCs w:val="22"/>
              </w:rPr>
              <w:t xml:space="preserve"> </w:t>
            </w:r>
            <w:r w:rsidR="00D56A2F">
              <w:rPr>
                <w:rFonts w:cs="Verdana"/>
                <w:bCs/>
                <w:sz w:val="22"/>
                <w:szCs w:val="22"/>
              </w:rPr>
              <w:t>del Departamento de Derecho Internacional Público, Penal y Procesal.</w:t>
            </w:r>
          </w:p>
          <w:p w:rsidR="001A328E" w:rsidRDefault="001A328E" w:rsidP="001A328E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</w:p>
          <w:p w:rsidR="003812D6" w:rsidRDefault="001A328E" w:rsidP="001A328E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 xml:space="preserve">Con fecha </w:t>
            </w:r>
            <w:r w:rsidR="003812D6">
              <w:rPr>
                <w:rFonts w:cs="Verdana"/>
                <w:bCs/>
                <w:sz w:val="22"/>
                <w:szCs w:val="22"/>
              </w:rPr>
              <w:t xml:space="preserve">1 de diciembre </w:t>
            </w:r>
            <w:r>
              <w:rPr>
                <w:rFonts w:cs="Verdana"/>
                <w:bCs/>
                <w:sz w:val="22"/>
                <w:szCs w:val="22"/>
              </w:rPr>
              <w:t>de 201</w:t>
            </w:r>
            <w:r w:rsidR="00D56A2F">
              <w:rPr>
                <w:rFonts w:cs="Verdana"/>
                <w:bCs/>
                <w:sz w:val="22"/>
                <w:szCs w:val="22"/>
              </w:rPr>
              <w:t>5</w:t>
            </w:r>
            <w:r w:rsidR="003B5329">
              <w:rPr>
                <w:rFonts w:cs="Verdana"/>
                <w:bCs/>
                <w:sz w:val="22"/>
                <w:szCs w:val="22"/>
              </w:rPr>
              <w:t>,</w:t>
            </w:r>
            <w:r>
              <w:rPr>
                <w:rFonts w:cs="Verdana"/>
                <w:bCs/>
                <w:sz w:val="22"/>
                <w:szCs w:val="22"/>
              </w:rPr>
              <w:t xml:space="preserve"> el Consejo de Gobierno aprobó la modificación de la memoria del Grado en Derecho</w:t>
            </w:r>
            <w:r w:rsidR="00F26EEE">
              <w:rPr>
                <w:rFonts w:cs="Verdana"/>
                <w:bCs/>
                <w:sz w:val="22"/>
                <w:szCs w:val="22"/>
              </w:rPr>
              <w:t xml:space="preserve"> (BOUCA nº 200, suplemento nº 4, de enero de 2016)</w:t>
            </w:r>
            <w:r w:rsidR="005F2D90">
              <w:rPr>
                <w:rFonts w:cs="Verdana"/>
                <w:bCs/>
                <w:sz w:val="22"/>
                <w:szCs w:val="22"/>
              </w:rPr>
              <w:t>, que recogía</w:t>
            </w:r>
            <w:r w:rsidR="003812D6">
              <w:rPr>
                <w:rFonts w:cs="Verdana"/>
                <w:bCs/>
                <w:sz w:val="22"/>
                <w:szCs w:val="22"/>
              </w:rPr>
              <w:t xml:space="preserve"> los siguientes cambios</w:t>
            </w:r>
            <w:r w:rsidR="001A1154">
              <w:rPr>
                <w:rFonts w:cs="Verdana"/>
                <w:bCs/>
                <w:sz w:val="22"/>
                <w:szCs w:val="22"/>
              </w:rPr>
              <w:t xml:space="preserve">, motivados por la adecuación de la enseñanza del Derecho Procesal </w:t>
            </w:r>
            <w:r w:rsidR="007752AB">
              <w:rPr>
                <w:rFonts w:cs="Verdana"/>
                <w:bCs/>
                <w:sz w:val="22"/>
                <w:szCs w:val="22"/>
              </w:rPr>
              <w:t>a las necesidades del</w:t>
            </w:r>
            <w:r w:rsidR="001A1154">
              <w:rPr>
                <w:rFonts w:cs="Verdana"/>
                <w:bCs/>
                <w:sz w:val="22"/>
                <w:szCs w:val="22"/>
              </w:rPr>
              <w:t xml:space="preserve"> Máster de Acceso a la Abogacía</w:t>
            </w:r>
            <w:r w:rsidR="003812D6">
              <w:rPr>
                <w:rFonts w:cs="Verdana"/>
                <w:bCs/>
                <w:sz w:val="22"/>
                <w:szCs w:val="22"/>
              </w:rPr>
              <w:t>:</w:t>
            </w:r>
          </w:p>
          <w:p w:rsidR="003812D6" w:rsidRDefault="003812D6" w:rsidP="001A328E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</w:p>
          <w:p w:rsidR="004940C2" w:rsidRDefault="003812D6" w:rsidP="001A328E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 xml:space="preserve">En </w:t>
            </w:r>
            <w:r w:rsidR="004940C2">
              <w:rPr>
                <w:rFonts w:cs="Verdana"/>
                <w:bCs/>
                <w:sz w:val="22"/>
                <w:szCs w:val="22"/>
              </w:rPr>
              <w:t xml:space="preserve">el módulo Obligatorio </w:t>
            </w:r>
            <w:r w:rsidR="004940C2" w:rsidRPr="004940C2">
              <w:rPr>
                <w:rFonts w:cs="Verdana"/>
                <w:bCs/>
                <w:i/>
                <w:sz w:val="22"/>
                <w:szCs w:val="22"/>
              </w:rPr>
              <w:t>Instrumentos para el ejercicio del derecho</w:t>
            </w:r>
            <w:r w:rsidR="00F26EEE">
              <w:rPr>
                <w:rFonts w:cs="Verdana"/>
                <w:bCs/>
                <w:sz w:val="22"/>
                <w:szCs w:val="22"/>
              </w:rPr>
              <w:t>:</w:t>
            </w:r>
          </w:p>
          <w:p w:rsidR="00F26EEE" w:rsidRPr="004940C2" w:rsidRDefault="00F26EEE" w:rsidP="00F26EEE">
            <w:pPr>
              <w:pStyle w:val="Prrafodelista"/>
              <w:numPr>
                <w:ilvl w:val="0"/>
                <w:numId w:val="31"/>
              </w:numPr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>Cambio de denominación de la materia y asignatura “Técnicas jurídicas” por “Argumentación jurídica”, por responder mejor a su contenido.</w:t>
            </w:r>
          </w:p>
          <w:p w:rsidR="001A328E" w:rsidRDefault="004940C2" w:rsidP="004940C2">
            <w:pPr>
              <w:pStyle w:val="Prrafodelista"/>
              <w:numPr>
                <w:ilvl w:val="0"/>
                <w:numId w:val="31"/>
              </w:numPr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 xml:space="preserve">Disminución del número de créditos del módulo de 12 a 9 créditos, disminuyendo la </w:t>
            </w:r>
            <w:r w:rsidR="00F26EEE">
              <w:rPr>
                <w:rFonts w:cs="Verdana"/>
                <w:bCs/>
                <w:sz w:val="22"/>
                <w:szCs w:val="22"/>
              </w:rPr>
              <w:t>m</w:t>
            </w:r>
            <w:r>
              <w:rPr>
                <w:rFonts w:cs="Verdana"/>
                <w:bCs/>
                <w:sz w:val="22"/>
                <w:szCs w:val="22"/>
              </w:rPr>
              <w:t xml:space="preserve">ateria </w:t>
            </w:r>
            <w:r w:rsidR="003B5329">
              <w:rPr>
                <w:rFonts w:cs="Verdana"/>
                <w:bCs/>
                <w:sz w:val="22"/>
                <w:szCs w:val="22"/>
              </w:rPr>
              <w:t>“</w:t>
            </w:r>
            <w:r>
              <w:rPr>
                <w:rFonts w:cs="Verdana"/>
                <w:bCs/>
                <w:sz w:val="22"/>
                <w:szCs w:val="22"/>
              </w:rPr>
              <w:t>Argumentación jurídica</w:t>
            </w:r>
            <w:r w:rsidR="003B5329">
              <w:rPr>
                <w:rFonts w:cs="Verdana"/>
                <w:bCs/>
                <w:sz w:val="22"/>
                <w:szCs w:val="22"/>
              </w:rPr>
              <w:t>”</w:t>
            </w:r>
            <w:r>
              <w:rPr>
                <w:rFonts w:cs="Verdana"/>
                <w:bCs/>
                <w:sz w:val="22"/>
                <w:szCs w:val="22"/>
              </w:rPr>
              <w:t xml:space="preserve"> de 6 a 3 créditos</w:t>
            </w:r>
            <w:r w:rsidR="001A1154">
              <w:rPr>
                <w:rFonts w:cs="Verdana"/>
                <w:bCs/>
                <w:sz w:val="22"/>
                <w:szCs w:val="22"/>
              </w:rPr>
              <w:t xml:space="preserve">. </w:t>
            </w:r>
            <w:r>
              <w:rPr>
                <w:rFonts w:cs="Verdana"/>
                <w:bCs/>
                <w:sz w:val="22"/>
                <w:szCs w:val="22"/>
              </w:rPr>
              <w:t xml:space="preserve"> </w:t>
            </w:r>
          </w:p>
          <w:p w:rsidR="001A1154" w:rsidRDefault="003812D6" w:rsidP="005F2D90">
            <w:pPr>
              <w:ind w:left="397"/>
              <w:jc w:val="both"/>
              <w:rPr>
                <w:rFonts w:cs="Verdana"/>
                <w:bCs/>
                <w:sz w:val="22"/>
              </w:rPr>
            </w:pPr>
            <w:r>
              <w:rPr>
                <w:rFonts w:cs="Verdana"/>
                <w:bCs/>
                <w:sz w:val="22"/>
              </w:rPr>
              <w:t xml:space="preserve">En el módulo Mixto </w:t>
            </w:r>
            <w:r w:rsidRPr="00232A74">
              <w:rPr>
                <w:rFonts w:cs="Verdana"/>
                <w:bCs/>
                <w:i/>
                <w:sz w:val="22"/>
              </w:rPr>
              <w:t>Derecho Procesal</w:t>
            </w:r>
            <w:r>
              <w:rPr>
                <w:rFonts w:cs="Verdana"/>
                <w:bCs/>
                <w:sz w:val="22"/>
              </w:rPr>
              <w:t>. Materia Derecho Procesal</w:t>
            </w:r>
            <w:r w:rsidR="00232A74">
              <w:rPr>
                <w:rFonts w:cs="Verdana"/>
                <w:bCs/>
                <w:sz w:val="22"/>
              </w:rPr>
              <w:t>:</w:t>
            </w:r>
          </w:p>
          <w:p w:rsidR="00232A74" w:rsidRPr="001A1154" w:rsidRDefault="00232A74" w:rsidP="001A1154">
            <w:pPr>
              <w:pStyle w:val="Prrafodelista"/>
              <w:numPr>
                <w:ilvl w:val="0"/>
                <w:numId w:val="32"/>
              </w:numPr>
              <w:jc w:val="both"/>
              <w:rPr>
                <w:rFonts w:cs="Verdana"/>
                <w:bCs/>
                <w:sz w:val="22"/>
                <w:szCs w:val="22"/>
              </w:rPr>
            </w:pPr>
            <w:r w:rsidRPr="001A1154">
              <w:rPr>
                <w:rFonts w:cs="Verdana"/>
                <w:bCs/>
                <w:sz w:val="22"/>
                <w:szCs w:val="22"/>
              </w:rPr>
              <w:t>Aumento del número de créditos del módulo de 15 a 18 créditos</w:t>
            </w:r>
            <w:r w:rsidR="007752AB">
              <w:rPr>
                <w:rFonts w:cs="Verdana"/>
                <w:bCs/>
                <w:sz w:val="22"/>
                <w:szCs w:val="22"/>
              </w:rPr>
              <w:t xml:space="preserve">, pasando la asignatura “Derecho Procesal III” de 3 a 6 créditos. </w:t>
            </w:r>
          </w:p>
          <w:p w:rsidR="00232A74" w:rsidRDefault="00232A74" w:rsidP="005F2D90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</w:p>
          <w:p w:rsidR="005F2D90" w:rsidRDefault="005F2D90" w:rsidP="005F2D90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>La Agencia Andaluza del Conocimiento aprobó dicha</w:t>
            </w:r>
            <w:r w:rsidR="001A1154">
              <w:rPr>
                <w:rFonts w:cs="Verdana"/>
                <w:bCs/>
                <w:sz w:val="22"/>
                <w:szCs w:val="22"/>
              </w:rPr>
              <w:t>s</w:t>
            </w:r>
            <w:r>
              <w:rPr>
                <w:rFonts w:cs="Verdana"/>
                <w:bCs/>
                <w:sz w:val="22"/>
                <w:szCs w:val="22"/>
              </w:rPr>
              <w:t xml:space="preserve"> modificaci</w:t>
            </w:r>
            <w:r w:rsidR="001A1154">
              <w:rPr>
                <w:rFonts w:cs="Verdana"/>
                <w:bCs/>
                <w:sz w:val="22"/>
                <w:szCs w:val="22"/>
              </w:rPr>
              <w:t>ones</w:t>
            </w:r>
            <w:r>
              <w:rPr>
                <w:rFonts w:cs="Verdana"/>
                <w:bCs/>
                <w:sz w:val="22"/>
                <w:szCs w:val="22"/>
              </w:rPr>
              <w:t>, según informe favorable de fecha 23 de marzo de 2016.</w:t>
            </w:r>
          </w:p>
          <w:p w:rsidR="005F2D90" w:rsidRDefault="005F2D90" w:rsidP="005F2D90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</w:p>
          <w:p w:rsidR="005F2D90" w:rsidRPr="00A307D4" w:rsidRDefault="005F2D90" w:rsidP="005F2D90">
            <w:pPr>
              <w:ind w:left="397"/>
              <w:jc w:val="both"/>
              <w:rPr>
                <w:sz w:val="22"/>
                <w:lang w:val="es-ES_tradnl"/>
              </w:rPr>
            </w:pPr>
            <w:r>
              <w:rPr>
                <w:rFonts w:cs="Verdana"/>
                <w:bCs/>
                <w:sz w:val="22"/>
                <w:szCs w:val="22"/>
              </w:rPr>
              <w:t xml:space="preserve">La Junta de Facultad de Derecho, en sesión extraordinaria de fecha 4 de julio de 2016, aprobó la asignación y encargo docentes de </w:t>
            </w:r>
            <w:r w:rsidR="00F150AE">
              <w:rPr>
                <w:rFonts w:cs="Verdana"/>
                <w:bCs/>
                <w:sz w:val="22"/>
                <w:szCs w:val="22"/>
              </w:rPr>
              <w:t xml:space="preserve">la asignatura “Argumentación jurídica” al área de </w:t>
            </w:r>
            <w:r w:rsidR="00F150AE" w:rsidRPr="00F150AE">
              <w:rPr>
                <w:rFonts w:cs="Verdana"/>
                <w:bCs/>
                <w:i/>
                <w:sz w:val="22"/>
                <w:szCs w:val="22"/>
              </w:rPr>
              <w:t>“Filosofía del Derecho”</w:t>
            </w:r>
            <w:r w:rsidR="00D56A2F">
              <w:rPr>
                <w:rFonts w:cs="Verdana"/>
                <w:bCs/>
                <w:sz w:val="22"/>
                <w:szCs w:val="22"/>
              </w:rPr>
              <w:t xml:space="preserve"> del Departamento de Derecho Pú</w:t>
            </w:r>
            <w:r w:rsidR="00F150AE">
              <w:rPr>
                <w:rFonts w:cs="Verdana"/>
                <w:bCs/>
                <w:sz w:val="22"/>
                <w:szCs w:val="22"/>
              </w:rPr>
              <w:t>blico</w:t>
            </w:r>
            <w:r w:rsidR="001A1154">
              <w:rPr>
                <w:rFonts w:cs="Verdana"/>
                <w:bCs/>
                <w:sz w:val="22"/>
                <w:szCs w:val="22"/>
              </w:rPr>
              <w:t xml:space="preserve"> y </w:t>
            </w:r>
            <w:r w:rsidR="007752AB">
              <w:rPr>
                <w:rFonts w:cs="Verdana"/>
                <w:bCs/>
                <w:sz w:val="22"/>
                <w:szCs w:val="22"/>
              </w:rPr>
              <w:t xml:space="preserve">la asignación y encargo docentes de la asignatura “Derecho Procesal III” al área de conocimiento </w:t>
            </w:r>
            <w:r w:rsidR="007752AB" w:rsidRPr="007752AB">
              <w:rPr>
                <w:rFonts w:cs="Verdana"/>
                <w:bCs/>
                <w:i/>
                <w:sz w:val="22"/>
                <w:szCs w:val="22"/>
              </w:rPr>
              <w:t>“Derecho Procesal”</w:t>
            </w:r>
            <w:r w:rsidR="007752AB">
              <w:rPr>
                <w:rFonts w:cs="Verdana"/>
                <w:bCs/>
                <w:sz w:val="22"/>
                <w:szCs w:val="22"/>
              </w:rPr>
              <w:t xml:space="preserve"> del Departamento de Derecho Internacional Público, Penal y Procesal.</w:t>
            </w:r>
          </w:p>
          <w:p w:rsidR="00115826" w:rsidRPr="005F2D90" w:rsidRDefault="00115826" w:rsidP="003D015A">
            <w:pPr>
              <w:ind w:left="397"/>
              <w:jc w:val="both"/>
              <w:rPr>
                <w:sz w:val="22"/>
                <w:lang w:val="es-ES_tradnl"/>
              </w:rPr>
            </w:pPr>
          </w:p>
          <w:p w:rsidR="004570EF" w:rsidRPr="00A307D4" w:rsidRDefault="004570EF" w:rsidP="003D015A">
            <w:pPr>
              <w:ind w:left="397"/>
              <w:jc w:val="both"/>
              <w:rPr>
                <w:sz w:val="22"/>
                <w:lang w:val="es-ES_tradnl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2.- FUNDAMENTACIÓN:</w:t>
            </w:r>
          </w:p>
          <w:p w:rsidR="004570EF" w:rsidRDefault="004570EF" w:rsidP="003D015A">
            <w:pPr>
              <w:ind w:left="397"/>
              <w:jc w:val="both"/>
              <w:rPr>
                <w:sz w:val="22"/>
                <w:lang w:val="es-ES_tradnl"/>
              </w:rPr>
            </w:pPr>
          </w:p>
          <w:p w:rsidR="004570EF" w:rsidRPr="00A307D4" w:rsidRDefault="004570EF" w:rsidP="003D015A">
            <w:pPr>
              <w:ind w:left="397"/>
              <w:jc w:val="both"/>
              <w:rPr>
                <w:sz w:val="22"/>
                <w:lang w:val="es-ES_tradnl"/>
              </w:rPr>
            </w:pPr>
            <w:r w:rsidRPr="00A307D4">
              <w:rPr>
                <w:sz w:val="22"/>
                <w:szCs w:val="22"/>
                <w:lang w:val="es-ES_tradnl"/>
              </w:rPr>
              <w:t>La presente propuesta se fundamenta en la</w:t>
            </w:r>
            <w:r>
              <w:rPr>
                <w:sz w:val="22"/>
                <w:szCs w:val="22"/>
                <w:lang w:val="es-ES_tradnl"/>
              </w:rPr>
              <w:t xml:space="preserve"> Instrucción UCA/I01VPOA/2009, de </w:t>
            </w:r>
            <w:r w:rsidR="004A4B77">
              <w:rPr>
                <w:sz w:val="22"/>
                <w:szCs w:val="22"/>
                <w:lang w:val="es-ES_tradnl"/>
              </w:rPr>
              <w:t>20 de febrero de 2009, por la qu</w:t>
            </w:r>
            <w:r>
              <w:rPr>
                <w:sz w:val="22"/>
                <w:szCs w:val="22"/>
                <w:lang w:val="es-ES_tradnl"/>
              </w:rPr>
              <w:t xml:space="preserve">e se establecen los mecanismos para la definición y asignación de asignaturas de planes de estudios de Grado y determinación de los Encargos Docentes a Departamentos y Áreas de Conocimiento (BOUCA Nº 90, de 25 de febrero de 2009). </w:t>
            </w:r>
            <w:r w:rsidRPr="00A307D4">
              <w:rPr>
                <w:sz w:val="22"/>
                <w:szCs w:val="22"/>
                <w:lang w:val="es-ES_tradnl"/>
              </w:rPr>
              <w:t xml:space="preserve"> </w:t>
            </w:r>
          </w:p>
          <w:p w:rsidR="004570EF" w:rsidRDefault="004570EF" w:rsidP="003D015A">
            <w:pPr>
              <w:ind w:left="397"/>
              <w:rPr>
                <w:b/>
                <w:sz w:val="22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3.- ACUERDO:</w:t>
            </w:r>
          </w:p>
          <w:p w:rsidR="004570EF" w:rsidRDefault="004570EF" w:rsidP="003D015A">
            <w:pPr>
              <w:ind w:left="397"/>
              <w:jc w:val="both"/>
              <w:rPr>
                <w:sz w:val="22"/>
              </w:rPr>
            </w:pPr>
          </w:p>
          <w:p w:rsidR="004570EF" w:rsidRDefault="004570EF" w:rsidP="003D015A">
            <w:pPr>
              <w:widowControl/>
              <w:autoSpaceDE w:val="0"/>
              <w:autoSpaceDN w:val="0"/>
              <w:adjustRightInd w:val="0"/>
              <w:ind w:left="397"/>
              <w:jc w:val="both"/>
              <w:rPr>
                <w:rFonts w:cs="Verdana"/>
                <w:sz w:val="22"/>
                <w:szCs w:val="22"/>
              </w:rPr>
            </w:pPr>
            <w:r>
              <w:rPr>
                <w:rFonts w:cs="Verdana"/>
                <w:sz w:val="22"/>
                <w:szCs w:val="22"/>
              </w:rPr>
              <w:t>Por todo ello, se propone la asignación y encargo docente</w:t>
            </w:r>
            <w:r w:rsidR="00F373D7">
              <w:rPr>
                <w:rFonts w:cs="Verdana"/>
                <w:sz w:val="22"/>
                <w:szCs w:val="22"/>
              </w:rPr>
              <w:t>s de las</w:t>
            </w:r>
            <w:bookmarkStart w:id="0" w:name="_GoBack"/>
            <w:bookmarkEnd w:id="0"/>
            <w:r w:rsidR="007752AB">
              <w:rPr>
                <w:rFonts w:cs="Verdana"/>
                <w:sz w:val="22"/>
                <w:szCs w:val="22"/>
              </w:rPr>
              <w:t xml:space="preserve"> asignaturas </w:t>
            </w:r>
            <w:r w:rsidR="00C2306A">
              <w:rPr>
                <w:rFonts w:cs="Verdana"/>
                <w:sz w:val="22"/>
                <w:szCs w:val="22"/>
              </w:rPr>
              <w:t xml:space="preserve">modificadas </w:t>
            </w:r>
            <w:r w:rsidR="007752AB">
              <w:rPr>
                <w:rFonts w:cs="Verdana"/>
                <w:sz w:val="22"/>
                <w:szCs w:val="22"/>
              </w:rPr>
              <w:t xml:space="preserve">del Grado en Derecho que se detallan a continuación: </w:t>
            </w:r>
            <w:r>
              <w:rPr>
                <w:rFonts w:cs="Verdana"/>
                <w:sz w:val="22"/>
                <w:szCs w:val="22"/>
              </w:rPr>
              <w:t xml:space="preserve"> </w:t>
            </w:r>
          </w:p>
          <w:p w:rsidR="0041224C" w:rsidRDefault="0041224C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5"/>
              <w:gridCol w:w="3686"/>
              <w:gridCol w:w="3609"/>
            </w:tblGrid>
            <w:tr w:rsidR="007752AB" w:rsidTr="00F26EEE">
              <w:tc>
                <w:tcPr>
                  <w:tcW w:w="12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752AB" w:rsidRPr="0071195D" w:rsidRDefault="007752AB" w:rsidP="003D015A">
                  <w:pPr>
                    <w:ind w:left="397"/>
                    <w:jc w:val="center"/>
                    <w:rPr>
                      <w:rFonts w:cs="Verdana"/>
                      <w:bCs/>
                      <w:sz w:val="22"/>
                      <w:szCs w:val="22"/>
                    </w:rPr>
                  </w:pPr>
                  <w:r>
                    <w:rPr>
                      <w:rFonts w:cs="Verdana"/>
                      <w:bCs/>
                      <w:sz w:val="22"/>
                      <w:szCs w:val="22"/>
                    </w:rPr>
                    <w:t>Asignatura</w:t>
                  </w:r>
                </w:p>
              </w:tc>
              <w:tc>
                <w:tcPr>
                  <w:tcW w:w="19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752AB" w:rsidRPr="0071195D" w:rsidRDefault="007752AB" w:rsidP="003D015A">
                  <w:pPr>
                    <w:ind w:left="397"/>
                    <w:jc w:val="center"/>
                    <w:rPr>
                      <w:rFonts w:cs="Verdana"/>
                      <w:bCs/>
                      <w:sz w:val="22"/>
                    </w:rPr>
                  </w:pPr>
                  <w:r w:rsidRPr="0071195D">
                    <w:rPr>
                      <w:rFonts w:cs="Verdana"/>
                      <w:bCs/>
                      <w:sz w:val="22"/>
                      <w:szCs w:val="22"/>
                    </w:rPr>
                    <w:t>Asignación docente</w:t>
                  </w:r>
                </w:p>
              </w:tc>
              <w:tc>
                <w:tcPr>
                  <w:tcW w:w="18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752AB" w:rsidRPr="0071195D" w:rsidRDefault="007752AB" w:rsidP="003D015A">
                  <w:pPr>
                    <w:ind w:left="397"/>
                    <w:jc w:val="center"/>
                    <w:rPr>
                      <w:rFonts w:cs="Verdana"/>
                      <w:bCs/>
                      <w:sz w:val="22"/>
                    </w:rPr>
                  </w:pPr>
                  <w:r w:rsidRPr="0071195D">
                    <w:rPr>
                      <w:rFonts w:cs="Verdana"/>
                      <w:bCs/>
                      <w:sz w:val="22"/>
                      <w:szCs w:val="22"/>
                    </w:rPr>
                    <w:t>Encargo docente</w:t>
                  </w:r>
                </w:p>
              </w:tc>
            </w:tr>
            <w:tr w:rsidR="007752AB" w:rsidTr="00F26EEE">
              <w:tc>
                <w:tcPr>
                  <w:tcW w:w="12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2AB" w:rsidRDefault="007752AB" w:rsidP="00F26EEE">
                  <w:pPr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Argumentación jurídica</w:t>
                  </w:r>
                </w:p>
                <w:p w:rsidR="007752AB" w:rsidRPr="0041224C" w:rsidRDefault="007752AB" w:rsidP="00F26EEE">
                  <w:pPr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(3 créditos)</w:t>
                  </w:r>
                </w:p>
              </w:tc>
              <w:tc>
                <w:tcPr>
                  <w:tcW w:w="19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2AB" w:rsidRDefault="007752AB" w:rsidP="00F26EEE">
                  <w:pPr>
                    <w:rPr>
                      <w:rFonts w:cs="Verdana"/>
                      <w:bCs/>
                      <w:sz w:val="22"/>
                    </w:rPr>
                  </w:pPr>
                  <w:r w:rsidRPr="0041224C">
                    <w:rPr>
                      <w:rFonts w:cs="Verdana"/>
                      <w:bCs/>
                      <w:sz w:val="22"/>
                    </w:rPr>
                    <w:t>Filosofía del Derecho</w:t>
                  </w:r>
                </w:p>
                <w:p w:rsidR="007752AB" w:rsidRPr="0071195D" w:rsidRDefault="007752AB" w:rsidP="00F26EEE">
                  <w:pPr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(</w:t>
                  </w:r>
                  <w:r w:rsidRPr="0041224C">
                    <w:rPr>
                      <w:rFonts w:cs="Verdana"/>
                      <w:bCs/>
                      <w:sz w:val="22"/>
                    </w:rPr>
                    <w:t>D</w:t>
                  </w:r>
                  <w:r w:rsidR="00F26EEE">
                    <w:rPr>
                      <w:rFonts w:cs="Verdana"/>
                      <w:bCs/>
                      <w:sz w:val="22"/>
                    </w:rPr>
                    <w:t>pto.</w:t>
                  </w:r>
                  <w:r w:rsidRPr="0041224C">
                    <w:rPr>
                      <w:rFonts w:cs="Verdana"/>
                      <w:bCs/>
                      <w:sz w:val="22"/>
                    </w:rPr>
                    <w:t xml:space="preserve"> Derecho Público</w:t>
                  </w:r>
                  <w:r>
                    <w:rPr>
                      <w:rFonts w:cs="Verdana"/>
                      <w:bCs/>
                      <w:sz w:val="22"/>
                    </w:rPr>
                    <w:t>)</w:t>
                  </w:r>
                </w:p>
              </w:tc>
              <w:tc>
                <w:tcPr>
                  <w:tcW w:w="18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2AB" w:rsidRDefault="007752AB" w:rsidP="00F26EEE">
                  <w:pPr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Filosofía del Derecho</w:t>
                  </w:r>
                </w:p>
                <w:p w:rsidR="007752AB" w:rsidRPr="0071195D" w:rsidRDefault="007752AB" w:rsidP="00F26EEE">
                  <w:pPr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(Dp</w:t>
                  </w:r>
                  <w:r w:rsidR="00F26EEE">
                    <w:rPr>
                      <w:rFonts w:cs="Verdana"/>
                      <w:bCs/>
                      <w:sz w:val="22"/>
                    </w:rPr>
                    <w:t xml:space="preserve">to. </w:t>
                  </w:r>
                  <w:r>
                    <w:rPr>
                      <w:rFonts w:cs="Verdana"/>
                      <w:bCs/>
                      <w:sz w:val="22"/>
                    </w:rPr>
                    <w:t>Derecho Público)</w:t>
                  </w:r>
                </w:p>
              </w:tc>
            </w:tr>
            <w:tr w:rsidR="007752AB" w:rsidTr="00F26EEE">
              <w:tc>
                <w:tcPr>
                  <w:tcW w:w="12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2AB" w:rsidRDefault="00F26EEE" w:rsidP="00F26EEE">
                  <w:pPr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Derecho Procesal III</w:t>
                  </w:r>
                </w:p>
                <w:p w:rsidR="00F26EEE" w:rsidRPr="0041224C" w:rsidRDefault="00F26EEE" w:rsidP="00F26EEE">
                  <w:pPr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(6 créditos)</w:t>
                  </w:r>
                </w:p>
              </w:tc>
              <w:tc>
                <w:tcPr>
                  <w:tcW w:w="19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2AB" w:rsidRDefault="00F26EEE" w:rsidP="00F26EEE">
                  <w:pPr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Derecho Procesal</w:t>
                  </w:r>
                </w:p>
                <w:p w:rsidR="00F26EEE" w:rsidRPr="0041224C" w:rsidRDefault="00F26EEE" w:rsidP="00F26EEE">
                  <w:pPr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(Dpto. Derecho Internacional Público, Penal y Procesal)</w:t>
                  </w:r>
                </w:p>
              </w:tc>
              <w:tc>
                <w:tcPr>
                  <w:tcW w:w="18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EEE" w:rsidRDefault="00F26EEE" w:rsidP="00F26EEE">
                  <w:pPr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Derecho Procesal</w:t>
                  </w:r>
                </w:p>
                <w:p w:rsidR="007752AB" w:rsidRDefault="00F26EEE" w:rsidP="00F26EEE">
                  <w:pPr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(Dpto. Derecho Internacional Público, Penal y Procesal)</w:t>
                  </w:r>
                </w:p>
              </w:tc>
            </w:tr>
          </w:tbl>
          <w:p w:rsidR="004570EF" w:rsidRDefault="004570EF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  <w:r w:rsidRPr="00A307D4">
              <w:rPr>
                <w:sz w:val="22"/>
                <w:szCs w:val="22"/>
              </w:rPr>
              <w:t xml:space="preserve">Cádiz, </w:t>
            </w:r>
            <w:r w:rsidR="0041224C">
              <w:rPr>
                <w:sz w:val="22"/>
                <w:szCs w:val="22"/>
              </w:rPr>
              <w:t>1</w:t>
            </w:r>
            <w:r w:rsidR="00BE04A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de</w:t>
            </w:r>
            <w:r w:rsidR="002735AB">
              <w:rPr>
                <w:sz w:val="22"/>
                <w:szCs w:val="22"/>
              </w:rPr>
              <w:t xml:space="preserve"> </w:t>
            </w:r>
            <w:r w:rsidR="00F26EEE">
              <w:rPr>
                <w:sz w:val="22"/>
                <w:szCs w:val="22"/>
              </w:rPr>
              <w:t>octubre</w:t>
            </w:r>
            <w:r w:rsidRPr="00A307D4">
              <w:rPr>
                <w:sz w:val="22"/>
                <w:szCs w:val="22"/>
              </w:rPr>
              <w:t xml:space="preserve"> de 201</w:t>
            </w:r>
            <w:r w:rsidR="00BE04AB">
              <w:rPr>
                <w:sz w:val="22"/>
                <w:szCs w:val="22"/>
              </w:rPr>
              <w:t>6</w:t>
            </w: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1224C" w:rsidRDefault="0041224C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mallCaps/>
                <w:sz w:val="22"/>
              </w:rPr>
            </w:pPr>
            <w:r w:rsidRPr="00A307D4">
              <w:rPr>
                <w:sz w:val="22"/>
                <w:szCs w:val="22"/>
              </w:rPr>
              <w:t>Carlos Moreno Aguilar</w:t>
            </w: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  <w:r w:rsidRPr="00A307D4">
              <w:rPr>
                <w:sz w:val="22"/>
                <w:szCs w:val="22"/>
              </w:rPr>
              <w:t>Vicerrector de Ordenación Académica y Personal</w:t>
            </w:r>
          </w:p>
        </w:tc>
      </w:tr>
    </w:tbl>
    <w:p w:rsidR="004570EF" w:rsidRPr="00A307D4" w:rsidRDefault="004570EF" w:rsidP="001347D8">
      <w:pPr>
        <w:tabs>
          <w:tab w:val="left" w:pos="4500"/>
          <w:tab w:val="left" w:pos="7380"/>
        </w:tabs>
        <w:rPr>
          <w:sz w:val="22"/>
          <w:szCs w:val="22"/>
        </w:rPr>
      </w:pPr>
    </w:p>
    <w:sectPr w:rsidR="004570EF" w:rsidRPr="00A307D4" w:rsidSect="00C640B4">
      <w:headerReference w:type="even" r:id="rId9"/>
      <w:headerReference w:type="default" r:id="rId10"/>
      <w:headerReference w:type="first" r:id="rId11"/>
      <w:pgSz w:w="11906" w:h="16838" w:code="9"/>
      <w:pgMar w:top="737" w:right="851" w:bottom="737" w:left="567" w:header="720" w:footer="72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A7A" w:rsidRDefault="00A66A7A">
      <w:r>
        <w:separator/>
      </w:r>
    </w:p>
  </w:endnote>
  <w:endnote w:type="continuationSeparator" w:id="0">
    <w:p w:rsidR="00A66A7A" w:rsidRDefault="00A6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65 Medium">
    <w:altName w:val="Trebuchet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55 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A7A" w:rsidRDefault="00A66A7A">
      <w:r>
        <w:separator/>
      </w:r>
    </w:p>
  </w:footnote>
  <w:footnote w:type="continuationSeparator" w:id="0">
    <w:p w:rsidR="00A66A7A" w:rsidRDefault="00A66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0EF" w:rsidRDefault="00B53299" w:rsidP="00AB1482">
    <w:pPr>
      <w:pStyle w:val="Textoencabezado"/>
      <w:spacing w:line="192" w:lineRule="auto"/>
      <w:ind w:left="-70"/>
    </w:pPr>
    <w:r>
      <w:rPr>
        <w:noProof/>
      </w:rPr>
      <w:drawing>
        <wp:inline distT="0" distB="0" distL="0" distR="0" wp14:anchorId="41EDAE76" wp14:editId="564ACAC5">
          <wp:extent cx="2057400" cy="942975"/>
          <wp:effectExtent l="0" t="0" r="0" b="9525"/>
          <wp:docPr id="1" name="Imagen 3" descr="LOGO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LOGOc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0EF" w:rsidRDefault="004570E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7"/>
      <w:gridCol w:w="193"/>
      <w:gridCol w:w="3047"/>
      <w:gridCol w:w="193"/>
      <w:gridCol w:w="3278"/>
    </w:tblGrid>
    <w:tr w:rsidR="004570EF">
      <w:trPr>
        <w:cantSplit/>
        <w:trHeight w:val="1545"/>
      </w:trPr>
      <w:tc>
        <w:tcPr>
          <w:tcW w:w="3947" w:type="dxa"/>
          <w:tcBorders>
            <w:bottom w:val="nil"/>
          </w:tcBorders>
        </w:tcPr>
        <w:p w:rsidR="004570EF" w:rsidRDefault="00B53299" w:rsidP="00AA6615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0E51C29C" wp14:editId="71A38262">
                <wp:extent cx="2057400" cy="942975"/>
                <wp:effectExtent l="0" t="0" r="0" b="9525"/>
                <wp:docPr id="2" name="Imagen 4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4570EF" w:rsidRDefault="004570EF" w:rsidP="00AA6615">
          <w:pPr>
            <w:tabs>
              <w:tab w:val="left" w:pos="4500"/>
              <w:tab w:val="left" w:pos="7380"/>
            </w:tabs>
            <w:jc w:val="right"/>
          </w:pPr>
        </w:p>
      </w:tc>
      <w:tc>
        <w:tcPr>
          <w:tcW w:w="3047" w:type="dxa"/>
          <w:tcBorders>
            <w:bottom w:val="nil"/>
          </w:tcBorders>
        </w:tcPr>
        <w:p w:rsidR="004570EF" w:rsidRDefault="004570EF" w:rsidP="00AA6615">
          <w:pPr>
            <w:pStyle w:val="Titulo1"/>
          </w:pPr>
        </w:p>
      </w:tc>
      <w:tc>
        <w:tcPr>
          <w:tcW w:w="193" w:type="dxa"/>
          <w:tcBorders>
            <w:bottom w:val="nil"/>
          </w:tcBorders>
        </w:tcPr>
        <w:p w:rsidR="004570EF" w:rsidRDefault="004570EF" w:rsidP="00AA6615">
          <w:pPr>
            <w:tabs>
              <w:tab w:val="left" w:pos="4500"/>
              <w:tab w:val="left" w:pos="7380"/>
            </w:tabs>
          </w:pPr>
        </w:p>
      </w:tc>
      <w:tc>
        <w:tcPr>
          <w:tcW w:w="3278" w:type="dxa"/>
          <w:tcBorders>
            <w:bottom w:val="nil"/>
          </w:tcBorders>
        </w:tcPr>
        <w:p w:rsidR="004570EF" w:rsidRDefault="004570EF" w:rsidP="00AA6615">
          <w:pPr>
            <w:pStyle w:val="Textoencabezado"/>
          </w:pPr>
        </w:p>
      </w:tc>
    </w:tr>
  </w:tbl>
  <w:p w:rsidR="004570EF" w:rsidRPr="00093DE7" w:rsidRDefault="004570EF" w:rsidP="009B630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42" w:type="dxa"/>
      <w:tblInd w:w="528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201"/>
      <w:gridCol w:w="5696"/>
    </w:tblGrid>
    <w:tr w:rsidR="004570EF" w:rsidRPr="00415DBE" w:rsidTr="00484F5F">
      <w:trPr>
        <w:cantSplit/>
        <w:trHeight w:val="1545"/>
      </w:trPr>
      <w:tc>
        <w:tcPr>
          <w:tcW w:w="3945" w:type="dxa"/>
        </w:tcPr>
        <w:p w:rsidR="004570EF" w:rsidRPr="00415DBE" w:rsidRDefault="00B53299" w:rsidP="00415DBE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28CDCDC8" wp14:editId="7A5C45F3">
                <wp:extent cx="2057400" cy="942975"/>
                <wp:effectExtent l="0" t="0" r="0" b="9525"/>
                <wp:docPr id="3" name="Imagen 1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" w:type="dxa"/>
        </w:tcPr>
        <w:p w:rsidR="004570EF" w:rsidRPr="00415DBE" w:rsidRDefault="00B53299" w:rsidP="00415DBE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 wp14:anchorId="40F46261" wp14:editId="7A6EFAAD">
                <wp:extent cx="38100" cy="942975"/>
                <wp:effectExtent l="0" t="0" r="0" b="9525"/>
                <wp:docPr id="4" name="Imagen 2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6" w:type="dxa"/>
        </w:tcPr>
        <w:p w:rsidR="004570EF" w:rsidRPr="00415DBE" w:rsidRDefault="004570EF" w:rsidP="00415DBE">
          <w:pPr>
            <w:keepNext/>
            <w:spacing w:line="240" w:lineRule="auto"/>
            <w:outlineLvl w:val="0"/>
            <w:rPr>
              <w:rFonts w:cs="Arial"/>
              <w:bCs/>
              <w:color w:val="339966"/>
              <w:kern w:val="32"/>
              <w:sz w:val="18"/>
              <w:szCs w:val="18"/>
            </w:rPr>
          </w:pPr>
        </w:p>
        <w:p w:rsidR="004570EF" w:rsidRPr="00415DBE" w:rsidRDefault="004570EF" w:rsidP="00415DBE">
          <w:pPr>
            <w:keepNext/>
            <w:spacing w:line="240" w:lineRule="auto"/>
            <w:outlineLvl w:val="0"/>
            <w:rPr>
              <w:rFonts w:cs="Arial"/>
              <w:b/>
              <w:bCs/>
              <w:color w:val="278489"/>
              <w:kern w:val="32"/>
              <w:sz w:val="16"/>
              <w:szCs w:val="16"/>
            </w:rPr>
          </w:pPr>
          <w:r w:rsidRPr="00415DBE">
            <w:rPr>
              <w:rFonts w:cs="Arial"/>
              <w:b/>
              <w:bCs/>
              <w:color w:val="278489"/>
              <w:kern w:val="32"/>
              <w:sz w:val="16"/>
              <w:szCs w:val="16"/>
            </w:rPr>
            <w:t xml:space="preserve">Vicerrectorado de </w:t>
          </w:r>
          <w:r>
            <w:rPr>
              <w:rFonts w:cs="Arial"/>
              <w:b/>
              <w:bCs/>
              <w:color w:val="278489"/>
              <w:kern w:val="32"/>
              <w:sz w:val="16"/>
              <w:szCs w:val="16"/>
            </w:rPr>
            <w:t>Ordenación Académica y Personal</w:t>
          </w:r>
        </w:p>
        <w:p w:rsidR="004570EF" w:rsidRPr="00415DBE" w:rsidRDefault="004570EF" w:rsidP="00867FDC">
          <w:pPr>
            <w:keepNext/>
            <w:spacing w:line="240" w:lineRule="auto"/>
            <w:outlineLvl w:val="0"/>
            <w:rPr>
              <w:rFonts w:ascii="Arial" w:hAnsi="Arial" w:cs="Arial"/>
              <w:b/>
              <w:bCs/>
              <w:kern w:val="32"/>
              <w:sz w:val="16"/>
              <w:szCs w:val="16"/>
              <w:lang w:val="de-DE"/>
            </w:rPr>
          </w:pPr>
        </w:p>
      </w:tc>
    </w:tr>
  </w:tbl>
  <w:p w:rsidR="004570EF" w:rsidRPr="00415DBE" w:rsidRDefault="004570EF" w:rsidP="00415D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1DAD"/>
    <w:multiLevelType w:val="hybridMultilevel"/>
    <w:tmpl w:val="B6F8C8D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826E8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512E1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3A71BD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CA6C16"/>
    <w:multiLevelType w:val="hybridMultilevel"/>
    <w:tmpl w:val="A31C143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4F06114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271F35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9C54C40"/>
    <w:multiLevelType w:val="singleLevel"/>
    <w:tmpl w:val="D1EE49F0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A556226"/>
    <w:multiLevelType w:val="hybridMultilevel"/>
    <w:tmpl w:val="EF9E1A40"/>
    <w:lvl w:ilvl="0" w:tplc="ABF8D71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>
    <w:nsid w:val="1C355EDC"/>
    <w:multiLevelType w:val="hybridMultilevel"/>
    <w:tmpl w:val="4F7A76E2"/>
    <w:lvl w:ilvl="0" w:tplc="678603D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>
    <w:nsid w:val="1C452E6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526A8C"/>
    <w:multiLevelType w:val="hybridMultilevel"/>
    <w:tmpl w:val="02AE3DE8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1EC6298"/>
    <w:multiLevelType w:val="hybridMultilevel"/>
    <w:tmpl w:val="62664A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C30309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17034D8"/>
    <w:multiLevelType w:val="hybridMultilevel"/>
    <w:tmpl w:val="1B46D0E2"/>
    <w:lvl w:ilvl="0" w:tplc="0C0A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4">
    <w:nsid w:val="459361B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A6C686B"/>
    <w:multiLevelType w:val="hybridMultilevel"/>
    <w:tmpl w:val="5840038A"/>
    <w:lvl w:ilvl="0" w:tplc="0DA4BE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A4305A"/>
    <w:multiLevelType w:val="hybridMultilevel"/>
    <w:tmpl w:val="35BCEBD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02F52ED"/>
    <w:multiLevelType w:val="singleLevel"/>
    <w:tmpl w:val="1C24D59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54C551B7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5E4485F"/>
    <w:multiLevelType w:val="hybridMultilevel"/>
    <w:tmpl w:val="F620E952"/>
    <w:lvl w:ilvl="0" w:tplc="3BF469F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35213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B43621B"/>
    <w:multiLevelType w:val="hybridMultilevel"/>
    <w:tmpl w:val="A8A43F80"/>
    <w:lvl w:ilvl="0" w:tplc="5AE0C5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D1C3DF1"/>
    <w:multiLevelType w:val="multilevel"/>
    <w:tmpl w:val="C860A4F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F17184"/>
    <w:multiLevelType w:val="hybridMultilevel"/>
    <w:tmpl w:val="8006041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537AF1"/>
    <w:multiLevelType w:val="hybridMultilevel"/>
    <w:tmpl w:val="7712938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3A872CF"/>
    <w:multiLevelType w:val="multilevel"/>
    <w:tmpl w:val="D506EF04"/>
    <w:lvl w:ilvl="0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6">
    <w:nsid w:val="63B67D6E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44150F1"/>
    <w:multiLevelType w:val="hybridMultilevel"/>
    <w:tmpl w:val="C860A4F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9F4616"/>
    <w:multiLevelType w:val="hybridMultilevel"/>
    <w:tmpl w:val="D506EF04"/>
    <w:lvl w:ilvl="0" w:tplc="0C0A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9">
    <w:nsid w:val="7B331D3D"/>
    <w:multiLevelType w:val="hybridMultilevel"/>
    <w:tmpl w:val="A7CEFF12"/>
    <w:lvl w:ilvl="0" w:tplc="0C0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0">
    <w:nsid w:val="7BA7008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>
    <w:nsid w:val="7CCD2AC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1"/>
  </w:num>
  <w:num w:numId="3">
    <w:abstractNumId w:val="26"/>
  </w:num>
  <w:num w:numId="4">
    <w:abstractNumId w:val="18"/>
  </w:num>
  <w:num w:numId="5">
    <w:abstractNumId w:val="5"/>
  </w:num>
  <w:num w:numId="6">
    <w:abstractNumId w:val="31"/>
  </w:num>
  <w:num w:numId="7">
    <w:abstractNumId w:val="30"/>
  </w:num>
  <w:num w:numId="8">
    <w:abstractNumId w:val="12"/>
  </w:num>
  <w:num w:numId="9">
    <w:abstractNumId w:val="2"/>
  </w:num>
  <w:num w:numId="10">
    <w:abstractNumId w:val="4"/>
  </w:num>
  <w:num w:numId="11">
    <w:abstractNumId w:val="14"/>
  </w:num>
  <w:num w:numId="12">
    <w:abstractNumId w:val="9"/>
  </w:num>
  <w:num w:numId="13">
    <w:abstractNumId w:val="20"/>
  </w:num>
  <w:num w:numId="14">
    <w:abstractNumId w:val="6"/>
  </w:num>
  <w:num w:numId="15">
    <w:abstractNumId w:val="29"/>
  </w:num>
  <w:num w:numId="16">
    <w:abstractNumId w:val="27"/>
  </w:num>
  <w:num w:numId="17">
    <w:abstractNumId w:val="22"/>
  </w:num>
  <w:num w:numId="18">
    <w:abstractNumId w:val="28"/>
  </w:num>
  <w:num w:numId="19">
    <w:abstractNumId w:val="3"/>
  </w:num>
  <w:num w:numId="20">
    <w:abstractNumId w:val="25"/>
  </w:num>
  <w:num w:numId="21">
    <w:abstractNumId w:val="24"/>
  </w:num>
  <w:num w:numId="22">
    <w:abstractNumId w:val="13"/>
  </w:num>
  <w:num w:numId="23">
    <w:abstractNumId w:val="16"/>
  </w:num>
  <w:num w:numId="24">
    <w:abstractNumId w:val="11"/>
  </w:num>
  <w:num w:numId="25">
    <w:abstractNumId w:val="21"/>
  </w:num>
  <w:num w:numId="26">
    <w:abstractNumId w:val="0"/>
  </w:num>
  <w:num w:numId="27">
    <w:abstractNumId w:val="19"/>
  </w:num>
  <w:num w:numId="28">
    <w:abstractNumId w:val="23"/>
  </w:num>
  <w:num w:numId="29">
    <w:abstractNumId w:val="15"/>
  </w:num>
  <w:num w:numId="30">
    <w:abstractNumId w:val="10"/>
  </w:num>
  <w:num w:numId="31">
    <w:abstractNumId w:val="8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C6F"/>
    <w:rsid w:val="0000453C"/>
    <w:rsid w:val="0000549C"/>
    <w:rsid w:val="00016073"/>
    <w:rsid w:val="0002062F"/>
    <w:rsid w:val="000206F9"/>
    <w:rsid w:val="0004570A"/>
    <w:rsid w:val="00055696"/>
    <w:rsid w:val="00060519"/>
    <w:rsid w:val="00060DEA"/>
    <w:rsid w:val="00067E39"/>
    <w:rsid w:val="00073197"/>
    <w:rsid w:val="00080B3B"/>
    <w:rsid w:val="000826C4"/>
    <w:rsid w:val="00093DE7"/>
    <w:rsid w:val="000960E0"/>
    <w:rsid w:val="000A3512"/>
    <w:rsid w:val="000B32E5"/>
    <w:rsid w:val="000B3E7D"/>
    <w:rsid w:val="000B5592"/>
    <w:rsid w:val="000E648E"/>
    <w:rsid w:val="000F520A"/>
    <w:rsid w:val="00105C6F"/>
    <w:rsid w:val="001068D6"/>
    <w:rsid w:val="0011052F"/>
    <w:rsid w:val="00113167"/>
    <w:rsid w:val="00115826"/>
    <w:rsid w:val="00116BFC"/>
    <w:rsid w:val="001204F2"/>
    <w:rsid w:val="00133125"/>
    <w:rsid w:val="001347D8"/>
    <w:rsid w:val="00136B05"/>
    <w:rsid w:val="00140D86"/>
    <w:rsid w:val="00157640"/>
    <w:rsid w:val="00172973"/>
    <w:rsid w:val="00180756"/>
    <w:rsid w:val="001844D1"/>
    <w:rsid w:val="0018688E"/>
    <w:rsid w:val="0019262C"/>
    <w:rsid w:val="001A1154"/>
    <w:rsid w:val="001A328E"/>
    <w:rsid w:val="001C0A7E"/>
    <w:rsid w:val="001C1F9D"/>
    <w:rsid w:val="001C2164"/>
    <w:rsid w:val="001C27B9"/>
    <w:rsid w:val="001D02F1"/>
    <w:rsid w:val="001D35AB"/>
    <w:rsid w:val="001D36E2"/>
    <w:rsid w:val="001D5114"/>
    <w:rsid w:val="001E5217"/>
    <w:rsid w:val="001F157C"/>
    <w:rsid w:val="001F37CA"/>
    <w:rsid w:val="001F7700"/>
    <w:rsid w:val="00212726"/>
    <w:rsid w:val="00212F03"/>
    <w:rsid w:val="00220A9C"/>
    <w:rsid w:val="00222B9B"/>
    <w:rsid w:val="00227A66"/>
    <w:rsid w:val="00232A74"/>
    <w:rsid w:val="0025272E"/>
    <w:rsid w:val="00262A75"/>
    <w:rsid w:val="00265A38"/>
    <w:rsid w:val="00271995"/>
    <w:rsid w:val="002735AB"/>
    <w:rsid w:val="002A6083"/>
    <w:rsid w:val="002B1522"/>
    <w:rsid w:val="002B2B9E"/>
    <w:rsid w:val="002B415C"/>
    <w:rsid w:val="002C2720"/>
    <w:rsid w:val="002C3C04"/>
    <w:rsid w:val="002C6248"/>
    <w:rsid w:val="002D689E"/>
    <w:rsid w:val="002F5B59"/>
    <w:rsid w:val="002F7C59"/>
    <w:rsid w:val="00301522"/>
    <w:rsid w:val="00301CF0"/>
    <w:rsid w:val="003038D5"/>
    <w:rsid w:val="003140AE"/>
    <w:rsid w:val="003226A2"/>
    <w:rsid w:val="00324713"/>
    <w:rsid w:val="00345D34"/>
    <w:rsid w:val="003519E6"/>
    <w:rsid w:val="0037018D"/>
    <w:rsid w:val="003716CD"/>
    <w:rsid w:val="003812D6"/>
    <w:rsid w:val="003877A7"/>
    <w:rsid w:val="003920E1"/>
    <w:rsid w:val="00394BCB"/>
    <w:rsid w:val="003A1145"/>
    <w:rsid w:val="003A2C6F"/>
    <w:rsid w:val="003A2DFA"/>
    <w:rsid w:val="003A3CFD"/>
    <w:rsid w:val="003A6CB3"/>
    <w:rsid w:val="003A7A31"/>
    <w:rsid w:val="003B1D55"/>
    <w:rsid w:val="003B479E"/>
    <w:rsid w:val="003B5329"/>
    <w:rsid w:val="003B754D"/>
    <w:rsid w:val="003C1E09"/>
    <w:rsid w:val="003C6EB1"/>
    <w:rsid w:val="003C73A5"/>
    <w:rsid w:val="003D015A"/>
    <w:rsid w:val="003E2FED"/>
    <w:rsid w:val="003E387E"/>
    <w:rsid w:val="003F7500"/>
    <w:rsid w:val="004028A4"/>
    <w:rsid w:val="0041224C"/>
    <w:rsid w:val="00415425"/>
    <w:rsid w:val="00415B0A"/>
    <w:rsid w:val="00415DBE"/>
    <w:rsid w:val="00425F92"/>
    <w:rsid w:val="00427C9E"/>
    <w:rsid w:val="0043412C"/>
    <w:rsid w:val="0044330F"/>
    <w:rsid w:val="00443A75"/>
    <w:rsid w:val="00450346"/>
    <w:rsid w:val="004548EE"/>
    <w:rsid w:val="00455111"/>
    <w:rsid w:val="004570EF"/>
    <w:rsid w:val="0046155A"/>
    <w:rsid w:val="00464C09"/>
    <w:rsid w:val="00466D17"/>
    <w:rsid w:val="00476249"/>
    <w:rsid w:val="00482405"/>
    <w:rsid w:val="00482F48"/>
    <w:rsid w:val="00484F5F"/>
    <w:rsid w:val="00486AA8"/>
    <w:rsid w:val="00492483"/>
    <w:rsid w:val="004940C2"/>
    <w:rsid w:val="004A0272"/>
    <w:rsid w:val="004A13B5"/>
    <w:rsid w:val="004A1886"/>
    <w:rsid w:val="004A4B77"/>
    <w:rsid w:val="004B1659"/>
    <w:rsid w:val="004B2977"/>
    <w:rsid w:val="004C7EE6"/>
    <w:rsid w:val="004F52B8"/>
    <w:rsid w:val="005008B6"/>
    <w:rsid w:val="00501D26"/>
    <w:rsid w:val="005206FC"/>
    <w:rsid w:val="00524C03"/>
    <w:rsid w:val="00527AE4"/>
    <w:rsid w:val="0054098C"/>
    <w:rsid w:val="00546B62"/>
    <w:rsid w:val="00572F1A"/>
    <w:rsid w:val="00573B40"/>
    <w:rsid w:val="00585E3C"/>
    <w:rsid w:val="0059536F"/>
    <w:rsid w:val="00595DF3"/>
    <w:rsid w:val="005964D8"/>
    <w:rsid w:val="005A5F1C"/>
    <w:rsid w:val="005A6053"/>
    <w:rsid w:val="005A7562"/>
    <w:rsid w:val="005B2406"/>
    <w:rsid w:val="005B750E"/>
    <w:rsid w:val="005C4E08"/>
    <w:rsid w:val="005E780F"/>
    <w:rsid w:val="005F128B"/>
    <w:rsid w:val="005F2D90"/>
    <w:rsid w:val="005F45F4"/>
    <w:rsid w:val="005F5893"/>
    <w:rsid w:val="00606F0C"/>
    <w:rsid w:val="00622881"/>
    <w:rsid w:val="00624B0E"/>
    <w:rsid w:val="00632EDA"/>
    <w:rsid w:val="006426E7"/>
    <w:rsid w:val="00645892"/>
    <w:rsid w:val="00657453"/>
    <w:rsid w:val="00671FE3"/>
    <w:rsid w:val="00682F4E"/>
    <w:rsid w:val="00686990"/>
    <w:rsid w:val="00691732"/>
    <w:rsid w:val="006927D4"/>
    <w:rsid w:val="00692FEA"/>
    <w:rsid w:val="006A1914"/>
    <w:rsid w:val="006B0AE2"/>
    <w:rsid w:val="006C241D"/>
    <w:rsid w:val="006C3540"/>
    <w:rsid w:val="006D72A3"/>
    <w:rsid w:val="006E0D59"/>
    <w:rsid w:val="006F041E"/>
    <w:rsid w:val="006F48EA"/>
    <w:rsid w:val="006F5BD6"/>
    <w:rsid w:val="00700F9F"/>
    <w:rsid w:val="0071195D"/>
    <w:rsid w:val="0072543D"/>
    <w:rsid w:val="00731A7A"/>
    <w:rsid w:val="00742CF7"/>
    <w:rsid w:val="00755D3B"/>
    <w:rsid w:val="00761A40"/>
    <w:rsid w:val="0076682F"/>
    <w:rsid w:val="0077397C"/>
    <w:rsid w:val="0077449F"/>
    <w:rsid w:val="007752AB"/>
    <w:rsid w:val="007901CB"/>
    <w:rsid w:val="00794C9F"/>
    <w:rsid w:val="007A21C3"/>
    <w:rsid w:val="007B2DFD"/>
    <w:rsid w:val="007D2DEC"/>
    <w:rsid w:val="00805DB0"/>
    <w:rsid w:val="00807215"/>
    <w:rsid w:val="00807409"/>
    <w:rsid w:val="00810AF4"/>
    <w:rsid w:val="00816ED5"/>
    <w:rsid w:val="008234C5"/>
    <w:rsid w:val="00823B0C"/>
    <w:rsid w:val="008330AB"/>
    <w:rsid w:val="00841394"/>
    <w:rsid w:val="008460C6"/>
    <w:rsid w:val="00850A48"/>
    <w:rsid w:val="008606FD"/>
    <w:rsid w:val="00861D4E"/>
    <w:rsid w:val="00863BA9"/>
    <w:rsid w:val="00867FDC"/>
    <w:rsid w:val="00873C10"/>
    <w:rsid w:val="00874299"/>
    <w:rsid w:val="008808C2"/>
    <w:rsid w:val="008A6F2A"/>
    <w:rsid w:val="008D5945"/>
    <w:rsid w:val="008E0982"/>
    <w:rsid w:val="008F5FF3"/>
    <w:rsid w:val="009129D1"/>
    <w:rsid w:val="009213C2"/>
    <w:rsid w:val="0093117C"/>
    <w:rsid w:val="00933AA7"/>
    <w:rsid w:val="00953EC8"/>
    <w:rsid w:val="00954326"/>
    <w:rsid w:val="00966AE3"/>
    <w:rsid w:val="009A44C4"/>
    <w:rsid w:val="009A476C"/>
    <w:rsid w:val="009B230C"/>
    <w:rsid w:val="009B630A"/>
    <w:rsid w:val="009D1AB3"/>
    <w:rsid w:val="009D667B"/>
    <w:rsid w:val="009F6CD6"/>
    <w:rsid w:val="00A0080D"/>
    <w:rsid w:val="00A15656"/>
    <w:rsid w:val="00A16202"/>
    <w:rsid w:val="00A23692"/>
    <w:rsid w:val="00A307D4"/>
    <w:rsid w:val="00A32667"/>
    <w:rsid w:val="00A37509"/>
    <w:rsid w:val="00A508DF"/>
    <w:rsid w:val="00A539DF"/>
    <w:rsid w:val="00A55B2A"/>
    <w:rsid w:val="00A6575D"/>
    <w:rsid w:val="00A66A7A"/>
    <w:rsid w:val="00A66CAB"/>
    <w:rsid w:val="00A72206"/>
    <w:rsid w:val="00A74479"/>
    <w:rsid w:val="00A92AB7"/>
    <w:rsid w:val="00A9753B"/>
    <w:rsid w:val="00AA198B"/>
    <w:rsid w:val="00AA6615"/>
    <w:rsid w:val="00AA71BD"/>
    <w:rsid w:val="00AB1482"/>
    <w:rsid w:val="00AB34FF"/>
    <w:rsid w:val="00AC474A"/>
    <w:rsid w:val="00AC6C52"/>
    <w:rsid w:val="00AD2C2A"/>
    <w:rsid w:val="00AD3021"/>
    <w:rsid w:val="00AE39C3"/>
    <w:rsid w:val="00AE4307"/>
    <w:rsid w:val="00AE5075"/>
    <w:rsid w:val="00B07874"/>
    <w:rsid w:val="00B21CD4"/>
    <w:rsid w:val="00B41990"/>
    <w:rsid w:val="00B53299"/>
    <w:rsid w:val="00B73411"/>
    <w:rsid w:val="00B956CF"/>
    <w:rsid w:val="00BA1A9F"/>
    <w:rsid w:val="00BB0A5F"/>
    <w:rsid w:val="00BB2018"/>
    <w:rsid w:val="00BB563E"/>
    <w:rsid w:val="00BB709A"/>
    <w:rsid w:val="00BC1113"/>
    <w:rsid w:val="00BD52BC"/>
    <w:rsid w:val="00BE04AB"/>
    <w:rsid w:val="00BF47C3"/>
    <w:rsid w:val="00C02F7A"/>
    <w:rsid w:val="00C1019B"/>
    <w:rsid w:val="00C11ED4"/>
    <w:rsid w:val="00C2306A"/>
    <w:rsid w:val="00C27D8F"/>
    <w:rsid w:val="00C324C5"/>
    <w:rsid w:val="00C32810"/>
    <w:rsid w:val="00C36DF1"/>
    <w:rsid w:val="00C376D5"/>
    <w:rsid w:val="00C63D31"/>
    <w:rsid w:val="00C640B4"/>
    <w:rsid w:val="00C64C51"/>
    <w:rsid w:val="00C82160"/>
    <w:rsid w:val="00C92AF1"/>
    <w:rsid w:val="00C94155"/>
    <w:rsid w:val="00CA7EA5"/>
    <w:rsid w:val="00CC1C0F"/>
    <w:rsid w:val="00CD211A"/>
    <w:rsid w:val="00CF7327"/>
    <w:rsid w:val="00D04270"/>
    <w:rsid w:val="00D056A9"/>
    <w:rsid w:val="00D15927"/>
    <w:rsid w:val="00D204B8"/>
    <w:rsid w:val="00D2479B"/>
    <w:rsid w:val="00D26E2F"/>
    <w:rsid w:val="00D30AB7"/>
    <w:rsid w:val="00D32696"/>
    <w:rsid w:val="00D35F8B"/>
    <w:rsid w:val="00D365D3"/>
    <w:rsid w:val="00D4703D"/>
    <w:rsid w:val="00D56A2F"/>
    <w:rsid w:val="00D63B2B"/>
    <w:rsid w:val="00D76242"/>
    <w:rsid w:val="00D7707E"/>
    <w:rsid w:val="00D77BA0"/>
    <w:rsid w:val="00DA5F54"/>
    <w:rsid w:val="00DA7115"/>
    <w:rsid w:val="00DB644F"/>
    <w:rsid w:val="00DC2B69"/>
    <w:rsid w:val="00DC5171"/>
    <w:rsid w:val="00DD244A"/>
    <w:rsid w:val="00DD400B"/>
    <w:rsid w:val="00DD4617"/>
    <w:rsid w:val="00DD6D2A"/>
    <w:rsid w:val="00DF0C5B"/>
    <w:rsid w:val="00DF6CBF"/>
    <w:rsid w:val="00E02BCD"/>
    <w:rsid w:val="00E33B0E"/>
    <w:rsid w:val="00E3416F"/>
    <w:rsid w:val="00E37BC5"/>
    <w:rsid w:val="00E42E8C"/>
    <w:rsid w:val="00E46316"/>
    <w:rsid w:val="00E47D54"/>
    <w:rsid w:val="00E50D3A"/>
    <w:rsid w:val="00E51A9F"/>
    <w:rsid w:val="00E52149"/>
    <w:rsid w:val="00E606E0"/>
    <w:rsid w:val="00E655B9"/>
    <w:rsid w:val="00E6586C"/>
    <w:rsid w:val="00E65DF2"/>
    <w:rsid w:val="00E73BB1"/>
    <w:rsid w:val="00E81EA8"/>
    <w:rsid w:val="00E8247E"/>
    <w:rsid w:val="00E9106C"/>
    <w:rsid w:val="00E92BB6"/>
    <w:rsid w:val="00E93DF5"/>
    <w:rsid w:val="00E95E36"/>
    <w:rsid w:val="00EA2E2F"/>
    <w:rsid w:val="00EB04F3"/>
    <w:rsid w:val="00EB535E"/>
    <w:rsid w:val="00EB72F1"/>
    <w:rsid w:val="00EB7FDA"/>
    <w:rsid w:val="00EC2BE6"/>
    <w:rsid w:val="00EC6FB5"/>
    <w:rsid w:val="00ED3006"/>
    <w:rsid w:val="00ED4CBA"/>
    <w:rsid w:val="00ED4D23"/>
    <w:rsid w:val="00EE59E4"/>
    <w:rsid w:val="00EF1D26"/>
    <w:rsid w:val="00EF2E7C"/>
    <w:rsid w:val="00F00B82"/>
    <w:rsid w:val="00F01FFF"/>
    <w:rsid w:val="00F04B61"/>
    <w:rsid w:val="00F05B41"/>
    <w:rsid w:val="00F06288"/>
    <w:rsid w:val="00F079B9"/>
    <w:rsid w:val="00F1076B"/>
    <w:rsid w:val="00F11BC6"/>
    <w:rsid w:val="00F13EAD"/>
    <w:rsid w:val="00F150AE"/>
    <w:rsid w:val="00F160DC"/>
    <w:rsid w:val="00F26EEE"/>
    <w:rsid w:val="00F27EDA"/>
    <w:rsid w:val="00F362B3"/>
    <w:rsid w:val="00F373D7"/>
    <w:rsid w:val="00F41079"/>
    <w:rsid w:val="00F41BAA"/>
    <w:rsid w:val="00F530A2"/>
    <w:rsid w:val="00F55221"/>
    <w:rsid w:val="00F56F3D"/>
    <w:rsid w:val="00F81E17"/>
    <w:rsid w:val="00F86409"/>
    <w:rsid w:val="00F922A6"/>
    <w:rsid w:val="00FA5FD5"/>
    <w:rsid w:val="00FB673F"/>
    <w:rsid w:val="00FB716D"/>
    <w:rsid w:val="00FC141F"/>
    <w:rsid w:val="00FD5716"/>
    <w:rsid w:val="00FD6F84"/>
    <w:rsid w:val="00FD782D"/>
    <w:rsid w:val="00FE015C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6C4"/>
    <w:pPr>
      <w:widowControl w:val="0"/>
      <w:spacing w:line="312" w:lineRule="auto"/>
    </w:pPr>
    <w:rPr>
      <w:rFonts w:ascii="Garamond" w:hAnsi="Garamond"/>
      <w:sz w:val="20"/>
      <w:szCs w:val="24"/>
    </w:rPr>
  </w:style>
  <w:style w:type="paragraph" w:styleId="Ttulo1">
    <w:name w:val="heading 1"/>
    <w:aliases w:val="Subemisor 1"/>
    <w:basedOn w:val="Normal"/>
    <w:next w:val="Normal"/>
    <w:link w:val="Ttulo1Car"/>
    <w:uiPriority w:val="99"/>
    <w:qFormat/>
    <w:rsid w:val="000826C4"/>
    <w:pPr>
      <w:keepNext/>
      <w:widowControl/>
      <w:tabs>
        <w:tab w:val="left" w:pos="4500"/>
        <w:tab w:val="left" w:pos="7380"/>
      </w:tabs>
      <w:spacing w:line="240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styleId="Hipervnculo">
    <w:name w:val="Hyperlink"/>
    <w:basedOn w:val="Fuentedeprrafopredeter"/>
    <w:uiPriority w:val="99"/>
    <w:rsid w:val="000826C4"/>
    <w:rPr>
      <w:rFonts w:cs="Times New Roman"/>
      <w:color w:val="0000FF"/>
      <w:u w:val="single"/>
    </w:rPr>
  </w:style>
  <w:style w:type="paragraph" w:customStyle="1" w:styleId="Textoencabezado">
    <w:name w:val="Texto encabezado"/>
    <w:uiPriority w:val="99"/>
    <w:rsid w:val="000826C4"/>
    <w:pPr>
      <w:widowControl w:val="0"/>
    </w:pPr>
    <w:rPr>
      <w:rFonts w:ascii="Helvetica 55 Roman" w:hAnsi="Helvetica 55 Roman"/>
      <w:color w:val="717579"/>
      <w:sz w:val="16"/>
      <w:szCs w:val="20"/>
    </w:rPr>
  </w:style>
  <w:style w:type="paragraph" w:styleId="Textoindependiente">
    <w:name w:val="Body Text"/>
    <w:basedOn w:val="Normal"/>
    <w:link w:val="TextoindependienteCar"/>
    <w:uiPriority w:val="99"/>
    <w:rsid w:val="000826C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Garamond" w:hAnsi="Garamond" w:cs="Times New Roman"/>
      <w:sz w:val="24"/>
      <w:szCs w:val="24"/>
    </w:rPr>
  </w:style>
  <w:style w:type="paragraph" w:customStyle="1" w:styleId="Titulo1">
    <w:name w:val="Titulo1"/>
    <w:aliases w:val="Subemisor 2"/>
    <w:basedOn w:val="Ttulo1"/>
    <w:uiPriority w:val="99"/>
    <w:rsid w:val="000826C4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AE39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</w:rPr>
  </w:style>
  <w:style w:type="table" w:styleId="Tablaconcuadrcula">
    <w:name w:val="Table Grid"/>
    <w:basedOn w:val="Tablanormal"/>
    <w:uiPriority w:val="99"/>
    <w:rsid w:val="00D056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uiPriority w:val="99"/>
    <w:rsid w:val="00A66CAB"/>
    <w:rPr>
      <w:rFonts w:cs="Times New Roman"/>
    </w:rPr>
  </w:style>
  <w:style w:type="paragraph" w:customStyle="1" w:styleId="Prrafodelista1">
    <w:name w:val="Párrafo de lista1"/>
    <w:basedOn w:val="Normal"/>
    <w:uiPriority w:val="99"/>
    <w:rsid w:val="004F52B8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rrafodelista">
    <w:name w:val="List Paragraph"/>
    <w:basedOn w:val="Normal"/>
    <w:uiPriority w:val="34"/>
    <w:qFormat/>
    <w:rsid w:val="004940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6C4"/>
    <w:pPr>
      <w:widowControl w:val="0"/>
      <w:spacing w:line="312" w:lineRule="auto"/>
    </w:pPr>
    <w:rPr>
      <w:rFonts w:ascii="Garamond" w:hAnsi="Garamond"/>
      <w:sz w:val="20"/>
      <w:szCs w:val="24"/>
    </w:rPr>
  </w:style>
  <w:style w:type="paragraph" w:styleId="Ttulo1">
    <w:name w:val="heading 1"/>
    <w:aliases w:val="Subemisor 1"/>
    <w:basedOn w:val="Normal"/>
    <w:next w:val="Normal"/>
    <w:link w:val="Ttulo1Car"/>
    <w:uiPriority w:val="99"/>
    <w:qFormat/>
    <w:rsid w:val="000826C4"/>
    <w:pPr>
      <w:keepNext/>
      <w:widowControl/>
      <w:tabs>
        <w:tab w:val="left" w:pos="4500"/>
        <w:tab w:val="left" w:pos="7380"/>
      </w:tabs>
      <w:spacing w:line="240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styleId="Hipervnculo">
    <w:name w:val="Hyperlink"/>
    <w:basedOn w:val="Fuentedeprrafopredeter"/>
    <w:uiPriority w:val="99"/>
    <w:rsid w:val="000826C4"/>
    <w:rPr>
      <w:rFonts w:cs="Times New Roman"/>
      <w:color w:val="0000FF"/>
      <w:u w:val="single"/>
    </w:rPr>
  </w:style>
  <w:style w:type="paragraph" w:customStyle="1" w:styleId="Textoencabezado">
    <w:name w:val="Texto encabezado"/>
    <w:uiPriority w:val="99"/>
    <w:rsid w:val="000826C4"/>
    <w:pPr>
      <w:widowControl w:val="0"/>
    </w:pPr>
    <w:rPr>
      <w:rFonts w:ascii="Helvetica 55 Roman" w:hAnsi="Helvetica 55 Roman"/>
      <w:color w:val="717579"/>
      <w:sz w:val="16"/>
      <w:szCs w:val="20"/>
    </w:rPr>
  </w:style>
  <w:style w:type="paragraph" w:styleId="Textoindependiente">
    <w:name w:val="Body Text"/>
    <w:basedOn w:val="Normal"/>
    <w:link w:val="TextoindependienteCar"/>
    <w:uiPriority w:val="99"/>
    <w:rsid w:val="000826C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Garamond" w:hAnsi="Garamond" w:cs="Times New Roman"/>
      <w:sz w:val="24"/>
      <w:szCs w:val="24"/>
    </w:rPr>
  </w:style>
  <w:style w:type="paragraph" w:customStyle="1" w:styleId="Titulo1">
    <w:name w:val="Titulo1"/>
    <w:aliases w:val="Subemisor 2"/>
    <w:basedOn w:val="Ttulo1"/>
    <w:uiPriority w:val="99"/>
    <w:rsid w:val="000826C4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AE39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</w:rPr>
  </w:style>
  <w:style w:type="table" w:styleId="Tablaconcuadrcula">
    <w:name w:val="Table Grid"/>
    <w:basedOn w:val="Tablanormal"/>
    <w:uiPriority w:val="99"/>
    <w:rsid w:val="00D056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uiPriority w:val="99"/>
    <w:rsid w:val="00A66CAB"/>
    <w:rPr>
      <w:rFonts w:cs="Times New Roman"/>
    </w:rPr>
  </w:style>
  <w:style w:type="paragraph" w:customStyle="1" w:styleId="Prrafodelista1">
    <w:name w:val="Párrafo de lista1"/>
    <w:basedOn w:val="Normal"/>
    <w:uiPriority w:val="99"/>
    <w:rsid w:val="004F52B8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rrafodelista">
    <w:name w:val="List Paragraph"/>
    <w:basedOn w:val="Normal"/>
    <w:uiPriority w:val="34"/>
    <w:qFormat/>
    <w:rsid w:val="00494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plantilla_carta_primera_hoja_by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DCB20-E2AC-4D43-8C7B-3C6F3383A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plantilla_carta_primera_hoja_byn</Template>
  <TotalTime>11</TotalTime>
  <Pages>2</Pages>
  <Words>525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UCA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rep</dc:creator>
  <cp:keywords/>
  <dc:description/>
  <cp:lastModifiedBy>UCA</cp:lastModifiedBy>
  <cp:revision>5</cp:revision>
  <cp:lastPrinted>2016-10-20T12:39:00Z</cp:lastPrinted>
  <dcterms:created xsi:type="dcterms:W3CDTF">2016-10-19T12:16:00Z</dcterms:created>
  <dcterms:modified xsi:type="dcterms:W3CDTF">2016-10-20T12:40:00Z</dcterms:modified>
</cp:coreProperties>
</file>