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AE39B5" w:rsidP="001D059E">
            <w:pPr>
              <w:pStyle w:val="Textoindependiente"/>
              <w:jc w:val="center"/>
              <w:rPr>
                <w:sz w:val="22"/>
              </w:rPr>
            </w:pPr>
            <w:r>
              <w:rPr>
                <w:sz w:val="22"/>
                <w:szCs w:val="22"/>
              </w:rPr>
              <w:t xml:space="preserve">MODIFICACIÓN DE LA </w:t>
            </w:r>
            <w:r w:rsidR="002142B2">
              <w:rPr>
                <w:sz w:val="22"/>
                <w:szCs w:val="22"/>
              </w:rPr>
              <w:t xml:space="preserve">OFERTA DE EMPLEO PÚBLICO </w:t>
            </w:r>
            <w:r>
              <w:rPr>
                <w:sz w:val="22"/>
                <w:szCs w:val="22"/>
              </w:rPr>
              <w:t>D</w:t>
            </w:r>
            <w:r w:rsidR="002142B2">
              <w:rPr>
                <w:sz w:val="22"/>
                <w:szCs w:val="22"/>
              </w:rPr>
              <w:t>EL PERSONAL DOCENTE E INVESTIGADOR DE LA UNIVERSIDAD DE CÁDIZ PARA EL AÑO 201</w:t>
            </w:r>
            <w:r w:rsidR="00F26B8C">
              <w:rPr>
                <w:sz w:val="22"/>
                <w:szCs w:val="22"/>
              </w:rPr>
              <w:t>6</w:t>
            </w:r>
          </w:p>
          <w:p w:rsidR="001936A3" w:rsidRDefault="001936A3" w:rsidP="001D059E">
            <w:pPr>
              <w:rPr>
                <w:sz w:val="22"/>
                <w:lang w:val="es-ES_tradnl"/>
              </w:rPr>
            </w:pPr>
          </w:p>
          <w:p w:rsidR="001936A3" w:rsidRDefault="001936A3" w:rsidP="002142B2">
            <w:pPr>
              <w:pBdr>
                <w:top w:val="single" w:sz="4" w:space="1" w:color="auto"/>
                <w:left w:val="single" w:sz="4" w:space="4" w:color="auto"/>
                <w:bottom w:val="single" w:sz="4" w:space="1" w:color="auto"/>
                <w:right w:val="single" w:sz="4" w:space="4" w:color="auto"/>
              </w:pBdr>
              <w:rPr>
                <w:b/>
                <w:sz w:val="22"/>
              </w:rPr>
            </w:pPr>
            <w:r w:rsidRPr="00464C09">
              <w:rPr>
                <w:b/>
                <w:sz w:val="22"/>
                <w:szCs w:val="22"/>
              </w:rPr>
              <w:t>1.- EXPOSICION DE ANTECEDENTES:</w:t>
            </w:r>
          </w:p>
          <w:p w:rsidR="001936A3" w:rsidRDefault="001936A3" w:rsidP="001D059E">
            <w:pPr>
              <w:rPr>
                <w:b/>
                <w:sz w:val="22"/>
              </w:rPr>
            </w:pPr>
          </w:p>
          <w:p w:rsidR="00F26B8C" w:rsidRPr="00F26B8C" w:rsidRDefault="00F26B8C" w:rsidP="00F26B8C">
            <w:pPr>
              <w:rPr>
                <w:sz w:val="24"/>
              </w:rPr>
            </w:pPr>
            <w:r w:rsidRPr="00F26B8C">
              <w:rPr>
                <w:sz w:val="24"/>
              </w:rPr>
              <w:t>Por Resolución de 8 de abril de 2016, de la Universidad de Cádiz, se publicó la Oferta de Empleo Público del Personal Docente e Investigador para el año 2016 (BOJA número 74 de 20 de abril)</w:t>
            </w:r>
            <w:r w:rsidR="00AE39B5">
              <w:rPr>
                <w:sz w:val="24"/>
              </w:rPr>
              <w:t>, aprobada por el Consejo de Gobierno en su sesión de 1 de marzo de 2016</w:t>
            </w:r>
            <w:r w:rsidRPr="00F26B8C">
              <w:rPr>
                <w:sz w:val="24"/>
              </w:rPr>
              <w:t>.</w:t>
            </w:r>
          </w:p>
          <w:p w:rsidR="002142B2" w:rsidRDefault="002142B2" w:rsidP="002142B2">
            <w:pPr>
              <w:rPr>
                <w:sz w:val="24"/>
              </w:rPr>
            </w:pPr>
          </w:p>
          <w:p w:rsidR="00AE39B5" w:rsidRDefault="00AE39B5" w:rsidP="00AE39B5">
            <w:pPr>
              <w:jc w:val="both"/>
              <w:rPr>
                <w:sz w:val="24"/>
              </w:rPr>
            </w:pPr>
            <w:r>
              <w:rPr>
                <w:sz w:val="24"/>
              </w:rPr>
              <w:t>Asimismo, el Consejo de Gobierno, en su sesión de 22 de noviembre, aprobó la Oferta de Empleo Público Complementaria del Personal Docente e Investigador vinculado al Servicio Andaluz de Salud para el año 2016, con cargo a la tasa de reposición del citado Servicio.</w:t>
            </w:r>
          </w:p>
          <w:p w:rsidR="00AE39B5" w:rsidRPr="00BC088E" w:rsidRDefault="00AE39B5" w:rsidP="002142B2">
            <w:pPr>
              <w:rPr>
                <w:sz w:val="24"/>
              </w:rPr>
            </w:pPr>
          </w:p>
          <w:p w:rsidR="00C9023F" w:rsidRPr="00C9023F" w:rsidRDefault="00C9023F" w:rsidP="00C9023F">
            <w:pPr>
              <w:jc w:val="both"/>
              <w:rPr>
                <w:rFonts w:cs="NewsGotT-Regu"/>
                <w:sz w:val="24"/>
              </w:rPr>
            </w:pPr>
            <w:r w:rsidRPr="00C9023F">
              <w:rPr>
                <w:rFonts w:cs="NewsGotT-Regu"/>
                <w:sz w:val="24"/>
              </w:rPr>
              <w:t xml:space="preserve">Con fecha </w:t>
            </w:r>
            <w:r w:rsidR="0053437A" w:rsidRPr="0053437A">
              <w:rPr>
                <w:rFonts w:cs="NewsGotT-Regu"/>
                <w:sz w:val="24"/>
              </w:rPr>
              <w:t xml:space="preserve">9 </w:t>
            </w:r>
            <w:r w:rsidRPr="0053437A">
              <w:rPr>
                <w:rFonts w:cs="NewsGotT-Regu"/>
                <w:sz w:val="24"/>
              </w:rPr>
              <w:t xml:space="preserve">de </w:t>
            </w:r>
            <w:r w:rsidR="00AE39B5" w:rsidRPr="0053437A">
              <w:rPr>
                <w:rFonts w:cs="NewsGotT-Regu"/>
                <w:sz w:val="24"/>
              </w:rPr>
              <w:t>diciembre</w:t>
            </w:r>
            <w:r w:rsidRPr="0053437A">
              <w:rPr>
                <w:rFonts w:cs="NewsGotT-Regu"/>
                <w:sz w:val="24"/>
              </w:rPr>
              <w:t xml:space="preserve"> de 2016</w:t>
            </w:r>
            <w:r w:rsidRPr="00C9023F">
              <w:rPr>
                <w:rFonts w:cs="NewsGotT-Regu"/>
                <w:sz w:val="24"/>
              </w:rPr>
              <w:t xml:space="preserve">, la Comisión Mixta de Seguimiento del Concierto Específico entre la Consejería de Salud de la Junta de Andalucía y la Universidad de Cádiz para la utilización de las Instituciones Sanitarias en la Investigación y la Docencia, acordó la creación y convocatoria de </w:t>
            </w:r>
            <w:r w:rsidR="00AE39B5">
              <w:rPr>
                <w:rFonts w:cs="NewsGotT-Regu"/>
                <w:sz w:val="24"/>
              </w:rPr>
              <w:t>tres</w:t>
            </w:r>
            <w:r w:rsidRPr="00C9023F">
              <w:rPr>
                <w:rFonts w:cs="NewsGotT-Regu"/>
                <w:sz w:val="24"/>
              </w:rPr>
              <w:t xml:space="preserve"> plazas de</w:t>
            </w:r>
            <w:r w:rsidR="00AE39B5">
              <w:rPr>
                <w:rFonts w:cs="NewsGotT-Regu"/>
                <w:sz w:val="24"/>
              </w:rPr>
              <w:t>l Cuerpo de Funcionarios de</w:t>
            </w:r>
            <w:r w:rsidRPr="00C9023F">
              <w:rPr>
                <w:rFonts w:cs="NewsGotT-Regu"/>
                <w:sz w:val="24"/>
              </w:rPr>
              <w:t xml:space="preserve"> Profesor</w:t>
            </w:r>
            <w:r w:rsidR="00AE39B5">
              <w:rPr>
                <w:rFonts w:cs="NewsGotT-Regu"/>
                <w:sz w:val="24"/>
              </w:rPr>
              <w:t xml:space="preserve"> Titular de Universidad</w:t>
            </w:r>
            <w:r w:rsidRPr="00C9023F">
              <w:rPr>
                <w:rFonts w:cs="NewsGotT-Regu"/>
                <w:sz w:val="24"/>
              </w:rPr>
              <w:t xml:space="preserve"> vinculado, con cargo a la tasa de reposición del Servicio Andaluz de Salud para el año 2016</w:t>
            </w:r>
            <w:r w:rsidR="00AE39B5">
              <w:rPr>
                <w:rFonts w:cs="NewsGotT-Regu"/>
                <w:sz w:val="24"/>
              </w:rPr>
              <w:t>, con el fin de dar una definitiva solución a los problemas suscitados por el Servicio Andaluz de Salud en relación con la convocatoria y contratación de tres Profesores Contratados Doctores vinculados en el año 2012.</w:t>
            </w:r>
          </w:p>
          <w:p w:rsidR="002142B2" w:rsidRDefault="002142B2" w:rsidP="002142B2">
            <w:pPr>
              <w:rPr>
                <w:rFonts w:cs="NewsGotT-Regu"/>
                <w:sz w:val="24"/>
              </w:rPr>
            </w:pPr>
          </w:p>
          <w:p w:rsidR="00AE39B5" w:rsidRDefault="00AE39B5" w:rsidP="00AE39B5">
            <w:pPr>
              <w:jc w:val="both"/>
              <w:rPr>
                <w:rFonts w:cs="NewsGotT-Regu"/>
                <w:sz w:val="24"/>
              </w:rPr>
            </w:pPr>
            <w:r>
              <w:rPr>
                <w:rFonts w:cs="NewsGotT-Regu"/>
                <w:sz w:val="24"/>
              </w:rPr>
              <w:t xml:space="preserve">La modificación de la Oferta de Empleo Público del Personal Docente e Investigador de la Universidad de Cádiz con la adición de tres nuevas plazas del Cuerpo de Funcionarios de Profesor Titular de Universidad vinculados supone, asimismo, de acuerdo con lo establecido en el artículo </w:t>
            </w:r>
            <w:r w:rsidR="00C82F0C">
              <w:rPr>
                <w:rFonts w:cs="NewsGotT-Regu"/>
                <w:sz w:val="24"/>
              </w:rPr>
              <w:t>62.2 de la Ley Orgánica de Universidades y en los correspondientes acuerdos de la Universidad de Cádiz, la modificación del número de plazas del Cuerpo de Funcionarios de Catedrático de Universidad que se convocan por promoción interna, pasando de 13 a 16 plazas.</w:t>
            </w:r>
          </w:p>
          <w:p w:rsidR="00AE39B5" w:rsidRPr="00BC088E" w:rsidRDefault="00AE39B5" w:rsidP="002142B2">
            <w:pPr>
              <w:rPr>
                <w:rFonts w:cs="NewsGotT-Regu"/>
                <w:sz w:val="24"/>
              </w:rPr>
            </w:pPr>
          </w:p>
          <w:p w:rsidR="002142B2" w:rsidRPr="00BC088E" w:rsidRDefault="002142B2" w:rsidP="002142B2">
            <w:pPr>
              <w:jc w:val="both"/>
              <w:rPr>
                <w:sz w:val="24"/>
              </w:rPr>
            </w:pPr>
            <w:r w:rsidRPr="00BC088E">
              <w:rPr>
                <w:rFonts w:cs="NewsGotT-Regu"/>
                <w:sz w:val="24"/>
              </w:rPr>
              <w:t xml:space="preserve">Por todo lo expuesto, procede proponer al Consejo de Gobierno la aprobación de la </w:t>
            </w:r>
            <w:r w:rsidR="00AE39B5">
              <w:rPr>
                <w:rFonts w:cs="NewsGotT-Regu"/>
                <w:sz w:val="24"/>
              </w:rPr>
              <w:t xml:space="preserve">modificación </w:t>
            </w:r>
            <w:r w:rsidRPr="00BC088E">
              <w:rPr>
                <w:rFonts w:cs="NewsGotT-Regu"/>
                <w:sz w:val="24"/>
              </w:rPr>
              <w:t xml:space="preserve">Oferta de Empleo Público </w:t>
            </w:r>
            <w:r w:rsidR="00AE39B5">
              <w:rPr>
                <w:rFonts w:cs="NewsGotT-Regu"/>
                <w:sz w:val="24"/>
              </w:rPr>
              <w:t>d</w:t>
            </w:r>
            <w:r w:rsidRPr="00BC088E">
              <w:rPr>
                <w:rFonts w:cs="NewsGotT-Regu"/>
                <w:sz w:val="24"/>
              </w:rPr>
              <w:t>el Personal Docente e Investigador de la Universidad de Cádiz para el año 201</w:t>
            </w:r>
            <w:r w:rsidR="00C9023F">
              <w:rPr>
                <w:rFonts w:cs="NewsGotT-Regu"/>
                <w:sz w:val="24"/>
              </w:rPr>
              <w:t>6</w:t>
            </w:r>
            <w:r w:rsidRPr="00BC088E">
              <w:rPr>
                <w:rFonts w:cs="NewsGotT-Regu"/>
                <w:sz w:val="24"/>
              </w:rPr>
              <w:t>.</w:t>
            </w:r>
          </w:p>
          <w:p w:rsidR="001936A3" w:rsidRPr="002142B2" w:rsidRDefault="001936A3" w:rsidP="001D059E">
            <w:pPr>
              <w:ind w:left="290" w:hanging="1"/>
              <w:jc w:val="both"/>
              <w:rPr>
                <w:sz w:val="22"/>
              </w:rPr>
            </w:pPr>
          </w:p>
          <w:p w:rsidR="001936A3" w:rsidRDefault="001936A3" w:rsidP="002142B2">
            <w:pPr>
              <w:pBdr>
                <w:top w:val="single" w:sz="4" w:space="1" w:color="auto"/>
                <w:left w:val="single" w:sz="4" w:space="4" w:color="auto"/>
                <w:bottom w:val="single" w:sz="4" w:space="1" w:color="auto"/>
                <w:right w:val="single" w:sz="4" w:space="4" w:color="auto"/>
              </w:pBd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Pr="00BC088E" w:rsidRDefault="001936A3" w:rsidP="00A9193F">
            <w:pPr>
              <w:spacing w:line="288" w:lineRule="auto"/>
              <w:jc w:val="both"/>
              <w:rPr>
                <w:sz w:val="24"/>
                <w:lang w:val="es-ES_tradnl"/>
              </w:rPr>
            </w:pPr>
            <w:r w:rsidRPr="00BC088E">
              <w:rPr>
                <w:sz w:val="24"/>
                <w:lang w:val="es-ES_tradnl"/>
              </w:rPr>
              <w:t>La presente propuesta se fundamenta en la siguiente normativa:</w:t>
            </w:r>
          </w:p>
          <w:p w:rsidR="002142B2" w:rsidRPr="00BC088E" w:rsidRDefault="002142B2" w:rsidP="002142B2">
            <w:pPr>
              <w:pStyle w:val="Prrafodelista"/>
              <w:widowControl/>
              <w:numPr>
                <w:ilvl w:val="0"/>
                <w:numId w:val="30"/>
              </w:numPr>
              <w:autoSpaceDE w:val="0"/>
              <w:autoSpaceDN w:val="0"/>
              <w:adjustRightInd w:val="0"/>
              <w:spacing w:line="240" w:lineRule="auto"/>
              <w:rPr>
                <w:rFonts w:cs="Garamond"/>
                <w:sz w:val="24"/>
              </w:rPr>
            </w:pPr>
            <w:r w:rsidRPr="00BC088E">
              <w:rPr>
                <w:rFonts w:cs="Garamond"/>
                <w:sz w:val="24"/>
              </w:rPr>
              <w:t>Artículo 70 de la Ley 7/2007, de 12 de abril, del Estatuto Básico del Empleado Público.</w:t>
            </w:r>
          </w:p>
          <w:p w:rsidR="002142B2" w:rsidRPr="00BC088E" w:rsidRDefault="002142B2" w:rsidP="002142B2">
            <w:pPr>
              <w:widowControl/>
              <w:autoSpaceDE w:val="0"/>
              <w:autoSpaceDN w:val="0"/>
              <w:adjustRightInd w:val="0"/>
              <w:spacing w:line="240" w:lineRule="auto"/>
              <w:ind w:left="360"/>
              <w:rPr>
                <w:rFonts w:cs="Garamond"/>
                <w:sz w:val="24"/>
              </w:rPr>
            </w:pP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00060126">
              <w:rPr>
                <w:sz w:val="24"/>
              </w:rPr>
              <w:t>A</w:t>
            </w:r>
            <w:r w:rsidR="00C9023F" w:rsidRPr="00C9023F">
              <w:rPr>
                <w:rFonts w:cs="Garamond"/>
                <w:sz w:val="24"/>
              </w:rPr>
              <w:t>rtículo 20 de la Ley 48/2015, de 29 de octubre, de Presupuestos Generales del Estado para el año 2016</w:t>
            </w:r>
          </w:p>
          <w:p w:rsidR="001936A3" w:rsidRPr="00BC088E" w:rsidRDefault="002142B2" w:rsidP="002142B2">
            <w:pPr>
              <w:ind w:left="360"/>
              <w:rPr>
                <w:rFonts w:cs="Garamond"/>
                <w:sz w:val="24"/>
              </w:rPr>
            </w:pP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ascii="Symbol" w:hAnsi="Symbol" w:cs="Symbol"/>
                <w:sz w:val="24"/>
              </w:rPr>
              <w:t></w:t>
            </w:r>
            <w:r w:rsidRPr="00BC088E">
              <w:rPr>
                <w:rFonts w:cs="Garamond"/>
                <w:sz w:val="24"/>
              </w:rPr>
              <w:t>Estatutos de la Universidad de Cádiz.</w:t>
            </w:r>
          </w:p>
          <w:p w:rsidR="002142B2" w:rsidRPr="006F48EA" w:rsidRDefault="002142B2" w:rsidP="002142B2">
            <w:pPr>
              <w:ind w:left="360"/>
              <w:rPr>
                <w:b/>
                <w:sz w:val="22"/>
                <w:lang w:val="es-ES_tradnl"/>
              </w:rPr>
            </w:pPr>
          </w:p>
          <w:p w:rsidR="001936A3" w:rsidRDefault="001936A3" w:rsidP="002142B2">
            <w:pPr>
              <w:pBdr>
                <w:top w:val="single" w:sz="4" w:space="1" w:color="auto"/>
                <w:left w:val="single" w:sz="4" w:space="4" w:color="auto"/>
                <w:bottom w:val="single" w:sz="4" w:space="1" w:color="auto"/>
                <w:right w:val="single" w:sz="4" w:space="4" w:color="auto"/>
              </w:pBdr>
              <w:rPr>
                <w:b/>
                <w:sz w:val="22"/>
              </w:rPr>
            </w:pPr>
            <w:r w:rsidRPr="00464C09">
              <w:rPr>
                <w:b/>
                <w:sz w:val="22"/>
                <w:szCs w:val="22"/>
              </w:rPr>
              <w:t xml:space="preserve">3.- </w:t>
            </w:r>
            <w:r w:rsidR="002142B2">
              <w:rPr>
                <w:b/>
                <w:sz w:val="22"/>
                <w:szCs w:val="22"/>
              </w:rPr>
              <w:t xml:space="preserve">PROPUESTA DE </w:t>
            </w:r>
            <w:r w:rsidRPr="00464C09">
              <w:rPr>
                <w:b/>
                <w:sz w:val="22"/>
                <w:szCs w:val="22"/>
              </w:rPr>
              <w:t>ACUERDO:</w:t>
            </w:r>
          </w:p>
          <w:p w:rsidR="001936A3" w:rsidRDefault="001936A3" w:rsidP="00B96D23">
            <w:pPr>
              <w:jc w:val="both"/>
              <w:rPr>
                <w:sz w:val="22"/>
              </w:rPr>
            </w:pPr>
          </w:p>
          <w:p w:rsidR="001936A3" w:rsidRPr="00BC088E" w:rsidRDefault="002142B2" w:rsidP="00B96D23">
            <w:pPr>
              <w:jc w:val="both"/>
              <w:rPr>
                <w:sz w:val="24"/>
                <w:lang w:val="es-ES_tradnl"/>
              </w:rPr>
            </w:pPr>
            <w:r w:rsidRPr="00BC088E">
              <w:rPr>
                <w:sz w:val="24"/>
                <w:lang w:val="es-ES_tradnl"/>
              </w:rPr>
              <w:t xml:space="preserve">Único.- </w:t>
            </w:r>
            <w:r w:rsidR="00C82F0C">
              <w:rPr>
                <w:sz w:val="24"/>
                <w:lang w:val="es-ES_tradnl"/>
              </w:rPr>
              <w:t>Modificar</w:t>
            </w:r>
            <w:r w:rsidRPr="00BC088E">
              <w:rPr>
                <w:sz w:val="24"/>
                <w:lang w:val="es-ES_tradnl"/>
              </w:rPr>
              <w:t xml:space="preserve"> la Oferta de Empleo Público del Personal Docente e Investigador de la Universidad de Cádiz para el año 201</w:t>
            </w:r>
            <w:r w:rsidR="00060126">
              <w:rPr>
                <w:sz w:val="24"/>
                <w:lang w:val="es-ES_tradnl"/>
              </w:rPr>
              <w:t>6</w:t>
            </w:r>
            <w:r w:rsidRPr="00BC088E">
              <w:rPr>
                <w:sz w:val="24"/>
                <w:lang w:val="es-ES_tradnl"/>
              </w:rPr>
              <w:t>.</w:t>
            </w:r>
          </w:p>
          <w:p w:rsidR="00BC088E" w:rsidRDefault="00BC088E" w:rsidP="00BC088E">
            <w:pPr>
              <w:rPr>
                <w:b/>
                <w:sz w:val="22"/>
                <w:lang w:val="es-ES_tradnl"/>
              </w:rPr>
            </w:pPr>
          </w:p>
          <w:p w:rsidR="00BC088E" w:rsidRPr="006F48EA" w:rsidRDefault="00BC088E" w:rsidP="00BC088E">
            <w:pPr>
              <w:rPr>
                <w:b/>
                <w:sz w:val="22"/>
                <w:lang w:val="es-ES_tradnl"/>
              </w:rPr>
            </w:pPr>
          </w:p>
          <w:p w:rsidR="00BC088E" w:rsidRDefault="00BC088E" w:rsidP="00BC088E">
            <w:pPr>
              <w:pBdr>
                <w:top w:val="single" w:sz="4" w:space="1" w:color="auto"/>
                <w:left w:val="single" w:sz="4" w:space="4" w:color="auto"/>
                <w:bottom w:val="single" w:sz="4" w:space="1" w:color="auto"/>
                <w:right w:val="single" w:sz="4" w:space="4" w:color="auto"/>
              </w:pBdr>
              <w:rPr>
                <w:b/>
                <w:sz w:val="22"/>
              </w:rPr>
            </w:pPr>
            <w:r>
              <w:rPr>
                <w:b/>
                <w:sz w:val="22"/>
                <w:szCs w:val="22"/>
              </w:rPr>
              <w:t>4</w:t>
            </w:r>
            <w:r w:rsidRPr="00464C09">
              <w:rPr>
                <w:b/>
                <w:sz w:val="22"/>
                <w:szCs w:val="22"/>
              </w:rPr>
              <w:t xml:space="preserve">.- </w:t>
            </w:r>
            <w:r>
              <w:rPr>
                <w:b/>
                <w:sz w:val="22"/>
                <w:szCs w:val="22"/>
              </w:rPr>
              <w:t>DOCUMENTACIÓN</w:t>
            </w:r>
            <w:r w:rsidRPr="00464C09">
              <w:rPr>
                <w:b/>
                <w:sz w:val="22"/>
                <w:szCs w:val="22"/>
              </w:rPr>
              <w:t>:</w:t>
            </w:r>
          </w:p>
          <w:p w:rsidR="00BC088E" w:rsidRDefault="00BC088E" w:rsidP="00BC088E">
            <w:pPr>
              <w:jc w:val="both"/>
              <w:rPr>
                <w:sz w:val="22"/>
              </w:rPr>
            </w:pPr>
          </w:p>
          <w:p w:rsidR="00BC088E" w:rsidRPr="00BC088E" w:rsidRDefault="00BC088E" w:rsidP="00BC088E">
            <w:pPr>
              <w:jc w:val="both"/>
              <w:rPr>
                <w:sz w:val="24"/>
                <w:lang w:val="es-ES_tradnl"/>
              </w:rPr>
            </w:pPr>
            <w:r w:rsidRPr="0053437A">
              <w:rPr>
                <w:sz w:val="24"/>
                <w:lang w:val="es-ES_tradnl"/>
              </w:rPr>
              <w:t xml:space="preserve">Propuesta de </w:t>
            </w:r>
            <w:r w:rsidR="00C82F0C" w:rsidRPr="0053437A">
              <w:rPr>
                <w:sz w:val="24"/>
                <w:lang w:val="es-ES_tradnl"/>
              </w:rPr>
              <w:t xml:space="preserve">Modificación de la </w:t>
            </w:r>
            <w:r w:rsidRPr="0053437A">
              <w:rPr>
                <w:sz w:val="24"/>
                <w:lang w:val="es-ES_tradnl"/>
              </w:rPr>
              <w:t>Oferta de Empleo Público del Personal Docente e Investigador de la Universidad de Cádiz para el año 201</w:t>
            </w:r>
            <w:r w:rsidR="00060126" w:rsidRPr="0053437A">
              <w:rPr>
                <w:sz w:val="24"/>
                <w:lang w:val="es-ES_tradnl"/>
              </w:rPr>
              <w:t>6</w:t>
            </w:r>
            <w:r w:rsidRPr="00BC088E">
              <w:rPr>
                <w:sz w:val="24"/>
                <w:lang w:val="es-ES_tradnl"/>
              </w:rPr>
              <w:t>.</w:t>
            </w:r>
          </w:p>
          <w:p w:rsidR="00BC088E" w:rsidRDefault="00BC088E" w:rsidP="00B96D23">
            <w:pPr>
              <w:jc w:val="both"/>
              <w:rPr>
                <w:sz w:val="22"/>
                <w:szCs w:val="22"/>
                <w:lang w:val="es-ES_tradnl"/>
              </w:rPr>
            </w:pPr>
          </w:p>
          <w:p w:rsidR="00BC088E" w:rsidRPr="002142B2" w:rsidRDefault="00BC088E" w:rsidP="00B96D23">
            <w:pPr>
              <w:jc w:val="both"/>
              <w:rPr>
                <w:sz w:val="22"/>
                <w:szCs w:val="22"/>
                <w:lang w:val="es-ES_tradnl"/>
              </w:rPr>
            </w:pPr>
          </w:p>
          <w:p w:rsidR="001936A3" w:rsidRPr="0053437A" w:rsidRDefault="00086170" w:rsidP="007B3F8C">
            <w:pPr>
              <w:tabs>
                <w:tab w:val="left" w:pos="4500"/>
                <w:tab w:val="left" w:pos="7380"/>
              </w:tabs>
              <w:rPr>
                <w:sz w:val="24"/>
              </w:rPr>
            </w:pPr>
            <w:bookmarkStart w:id="0" w:name="_GoBack"/>
            <w:r w:rsidRPr="0053437A">
              <w:rPr>
                <w:sz w:val="24"/>
              </w:rPr>
              <w:t xml:space="preserve">Cádiz, </w:t>
            </w:r>
            <w:r w:rsidR="0053437A" w:rsidRPr="0053437A">
              <w:rPr>
                <w:sz w:val="24"/>
              </w:rPr>
              <w:t>12</w:t>
            </w:r>
            <w:r w:rsidR="00060126" w:rsidRPr="0053437A">
              <w:rPr>
                <w:sz w:val="24"/>
              </w:rPr>
              <w:t xml:space="preserve"> de </w:t>
            </w:r>
            <w:r w:rsidR="00C82F0C" w:rsidRPr="0053437A">
              <w:rPr>
                <w:sz w:val="24"/>
              </w:rPr>
              <w:t>dic</w:t>
            </w:r>
            <w:r w:rsidR="00060126" w:rsidRPr="0053437A">
              <w:rPr>
                <w:sz w:val="24"/>
              </w:rPr>
              <w:t>iembre de 2016</w:t>
            </w:r>
          </w:p>
          <w:p w:rsidR="00BC088E" w:rsidRPr="0053437A" w:rsidRDefault="00BC088E" w:rsidP="007B3F8C">
            <w:pPr>
              <w:tabs>
                <w:tab w:val="left" w:pos="4500"/>
                <w:tab w:val="left" w:pos="7380"/>
              </w:tabs>
              <w:rPr>
                <w:sz w:val="24"/>
              </w:rPr>
            </w:pPr>
          </w:p>
          <w:p w:rsidR="00BC088E" w:rsidRPr="0053437A" w:rsidRDefault="00BC088E" w:rsidP="007B3F8C">
            <w:pPr>
              <w:tabs>
                <w:tab w:val="left" w:pos="4500"/>
                <w:tab w:val="left" w:pos="7380"/>
              </w:tabs>
              <w:rPr>
                <w:sz w:val="24"/>
              </w:rPr>
            </w:pPr>
          </w:p>
          <w:p w:rsidR="001936A3" w:rsidRPr="0053437A" w:rsidRDefault="001936A3" w:rsidP="007B3F8C">
            <w:pPr>
              <w:tabs>
                <w:tab w:val="left" w:pos="4500"/>
                <w:tab w:val="left" w:pos="7380"/>
              </w:tabs>
              <w:rPr>
                <w:smallCaps/>
                <w:sz w:val="24"/>
              </w:rPr>
            </w:pPr>
            <w:r w:rsidRPr="0053437A">
              <w:rPr>
                <w:sz w:val="24"/>
              </w:rPr>
              <w:t xml:space="preserve">Carlos Moreno Aguilar </w:t>
            </w:r>
          </w:p>
          <w:p w:rsidR="001936A3" w:rsidRPr="00D32696" w:rsidRDefault="001936A3" w:rsidP="001D059E">
            <w:pPr>
              <w:tabs>
                <w:tab w:val="left" w:pos="4500"/>
                <w:tab w:val="left" w:pos="7380"/>
              </w:tabs>
              <w:rPr>
                <w:sz w:val="22"/>
                <w:u w:val="single"/>
              </w:rPr>
            </w:pPr>
            <w:r w:rsidRPr="0053437A">
              <w:rPr>
                <w:sz w:val="24"/>
              </w:rPr>
              <w:t>Vicerrector de Ordenación Académica y Personal</w:t>
            </w:r>
            <w:r>
              <w:rPr>
                <w:sz w:val="22"/>
                <w:szCs w:val="22"/>
              </w:rPr>
              <w:t xml:space="preserve"> </w:t>
            </w:r>
            <w:bookmarkEnd w:id="0"/>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7"/>
      <w:headerReference w:type="default" r:id="rId8"/>
      <w:headerReference w:type="first" r:id="rId9"/>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419" w:rsidRDefault="00261419">
      <w:r>
        <w:separator/>
      </w:r>
    </w:p>
  </w:endnote>
  <w:endnote w:type="continuationSeparator" w:id="0">
    <w:p w:rsidR="00261419" w:rsidRDefault="00261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sGotT-Regu">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419" w:rsidRDefault="00261419">
      <w:r>
        <w:separator/>
      </w:r>
    </w:p>
  </w:footnote>
  <w:footnote w:type="continuationSeparator" w:id="0">
    <w:p w:rsidR="00261419" w:rsidRDefault="002614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6A3" w:rsidRDefault="006C39BC" w:rsidP="00AB1482">
    <w:pPr>
      <w:pStyle w:val="Textoencabezado"/>
      <w:spacing w:line="192" w:lineRule="auto"/>
      <w:ind w:left="-70"/>
    </w:pPr>
    <w:r>
      <w:rPr>
        <w:noProof/>
      </w:rPr>
      <w:drawing>
        <wp:inline distT="0" distB="0" distL="0" distR="0">
          <wp:extent cx="2057400" cy="939800"/>
          <wp:effectExtent l="0" t="0" r="0" b="0"/>
          <wp:docPr id="1" name="Imagen 4"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6C39BC" w:rsidP="00AA6615">
          <w:pPr>
            <w:tabs>
              <w:tab w:val="left" w:pos="1730"/>
              <w:tab w:val="left" w:pos="4500"/>
              <w:tab w:val="left" w:pos="7380"/>
            </w:tabs>
            <w:rPr>
              <w:szCs w:val="22"/>
            </w:rPr>
          </w:pPr>
          <w:r>
            <w:rPr>
              <w:noProof/>
            </w:rPr>
            <w:drawing>
              <wp:inline distT="0" distB="0" distL="0" distR="0">
                <wp:extent cx="2057400" cy="939800"/>
                <wp:effectExtent l="0" t="0" r="0" b="0"/>
                <wp:docPr id="2"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6C39BC" w:rsidP="00CC6BE2">
          <w:pPr>
            <w:tabs>
              <w:tab w:val="left" w:pos="1730"/>
              <w:tab w:val="left" w:pos="4500"/>
              <w:tab w:val="left" w:pos="7380"/>
            </w:tabs>
            <w:ind w:left="222"/>
          </w:pPr>
          <w:r>
            <w:rPr>
              <w:noProof/>
            </w:rPr>
            <w:drawing>
              <wp:inline distT="0" distB="0" distL="0" distR="0">
                <wp:extent cx="2057400" cy="946150"/>
                <wp:effectExtent l="0" t="0" r="0" b="6350"/>
                <wp:docPr id="3"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6150"/>
                        </a:xfrm>
                        <a:prstGeom prst="rect">
                          <a:avLst/>
                        </a:prstGeom>
                        <a:noFill/>
                        <a:ln>
                          <a:noFill/>
                        </a:ln>
                      </pic:spPr>
                    </pic:pic>
                  </a:graphicData>
                </a:graphic>
              </wp:inline>
            </w:drawing>
          </w:r>
        </w:p>
      </w:tc>
      <w:tc>
        <w:tcPr>
          <w:tcW w:w="294" w:type="dxa"/>
          <w:tcBorders>
            <w:bottom w:val="nil"/>
          </w:tcBorders>
        </w:tcPr>
        <w:p w:rsidR="001936A3" w:rsidRPr="00CF67DC" w:rsidRDefault="006C39BC" w:rsidP="00CC6BE2">
          <w:pPr>
            <w:tabs>
              <w:tab w:val="left" w:pos="4500"/>
              <w:tab w:val="left" w:pos="7380"/>
            </w:tabs>
            <w:jc w:val="right"/>
          </w:pPr>
          <w:r>
            <w:rPr>
              <w:noProof/>
            </w:rPr>
            <w:drawing>
              <wp:inline distT="0" distB="0" distL="0" distR="0">
                <wp:extent cx="38100" cy="946150"/>
                <wp:effectExtent l="0" t="0" r="0" b="6350"/>
                <wp:docPr id="4"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6C39BC" w:rsidP="00CC6BE2">
          <w:pPr>
            <w:tabs>
              <w:tab w:val="left" w:pos="4500"/>
              <w:tab w:val="left" w:pos="7380"/>
            </w:tabs>
          </w:pPr>
          <w:r>
            <w:rPr>
              <w:noProof/>
            </w:rPr>
            <w:drawing>
              <wp:inline distT="0" distB="0" distL="0" distR="0">
                <wp:extent cx="38100" cy="946150"/>
                <wp:effectExtent l="0" t="0" r="0" b="6350"/>
                <wp:docPr id="5" name="Imagen 9"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05572F"/>
    <w:multiLevelType w:val="hybridMultilevel"/>
    <w:tmpl w:val="D94E00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7" w15:restartNumberingAfterBreak="0">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6A29B9"/>
    <w:multiLevelType w:val="hybridMultilevel"/>
    <w:tmpl w:val="CAC0CA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5" w15:restartNumberingAfterBreak="0">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8" w15:restartNumberingAfterBreak="0">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9" w15:restartNumberingAfterBreak="0">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7" w15:restartNumberingAfterBreak="0">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8" w15:restartNumberingAfterBreak="0">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9" w15:restartNumberingAfterBreak="0">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0"/>
  </w:num>
  <w:num w:numId="3">
    <w:abstractNumId w:val="24"/>
  </w:num>
  <w:num w:numId="4">
    <w:abstractNumId w:val="19"/>
  </w:num>
  <w:num w:numId="5">
    <w:abstractNumId w:val="5"/>
  </w:num>
  <w:num w:numId="6">
    <w:abstractNumId w:val="29"/>
  </w:num>
  <w:num w:numId="7">
    <w:abstractNumId w:val="28"/>
  </w:num>
  <w:num w:numId="8">
    <w:abstractNumId w:val="13"/>
  </w:num>
  <w:num w:numId="9">
    <w:abstractNumId w:val="2"/>
  </w:num>
  <w:num w:numId="10">
    <w:abstractNumId w:val="4"/>
  </w:num>
  <w:num w:numId="11">
    <w:abstractNumId w:val="15"/>
  </w:num>
  <w:num w:numId="12">
    <w:abstractNumId w:val="7"/>
  </w:num>
  <w:num w:numId="13">
    <w:abstractNumId w:val="20"/>
  </w:num>
  <w:num w:numId="14">
    <w:abstractNumId w:val="6"/>
  </w:num>
  <w:num w:numId="15">
    <w:abstractNumId w:val="27"/>
  </w:num>
  <w:num w:numId="16">
    <w:abstractNumId w:val="25"/>
  </w:num>
  <w:num w:numId="17">
    <w:abstractNumId w:val="21"/>
  </w:num>
  <w:num w:numId="18">
    <w:abstractNumId w:val="26"/>
  </w:num>
  <w:num w:numId="19">
    <w:abstractNumId w:val="3"/>
  </w:num>
  <w:num w:numId="20">
    <w:abstractNumId w:val="23"/>
  </w:num>
  <w:num w:numId="21">
    <w:abstractNumId w:val="22"/>
  </w:num>
  <w:num w:numId="22">
    <w:abstractNumId w:val="14"/>
  </w:num>
  <w:num w:numId="23">
    <w:abstractNumId w:val="16"/>
  </w:num>
  <w:num w:numId="24">
    <w:abstractNumId w:val="9"/>
  </w:num>
  <w:num w:numId="25">
    <w:abstractNumId w:val="10"/>
  </w:num>
  <w:num w:numId="26">
    <w:abstractNumId w:val="12"/>
  </w:num>
  <w:num w:numId="27">
    <w:abstractNumId w:val="8"/>
  </w:num>
  <w:num w:numId="28">
    <w:abstractNumId w:val="17"/>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6F"/>
    <w:rsid w:val="00002B1F"/>
    <w:rsid w:val="0000453C"/>
    <w:rsid w:val="00016073"/>
    <w:rsid w:val="0002062F"/>
    <w:rsid w:val="000206F9"/>
    <w:rsid w:val="000442AD"/>
    <w:rsid w:val="000456E0"/>
    <w:rsid w:val="00051313"/>
    <w:rsid w:val="00055696"/>
    <w:rsid w:val="00060126"/>
    <w:rsid w:val="00060DEA"/>
    <w:rsid w:val="00065B8F"/>
    <w:rsid w:val="00065F62"/>
    <w:rsid w:val="00076F1B"/>
    <w:rsid w:val="00084C6C"/>
    <w:rsid w:val="00086170"/>
    <w:rsid w:val="000865EE"/>
    <w:rsid w:val="0008707D"/>
    <w:rsid w:val="00093DE7"/>
    <w:rsid w:val="000960E0"/>
    <w:rsid w:val="000B3C07"/>
    <w:rsid w:val="000C1C09"/>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470F8"/>
    <w:rsid w:val="0015503B"/>
    <w:rsid w:val="00156BE6"/>
    <w:rsid w:val="00157640"/>
    <w:rsid w:val="00184E29"/>
    <w:rsid w:val="0019262C"/>
    <w:rsid w:val="001936A3"/>
    <w:rsid w:val="00196330"/>
    <w:rsid w:val="001B096B"/>
    <w:rsid w:val="001C0252"/>
    <w:rsid w:val="001C0A7E"/>
    <w:rsid w:val="001C2164"/>
    <w:rsid w:val="001D059E"/>
    <w:rsid w:val="001D0B51"/>
    <w:rsid w:val="001D0D03"/>
    <w:rsid w:val="001E6F11"/>
    <w:rsid w:val="001F157C"/>
    <w:rsid w:val="001F2028"/>
    <w:rsid w:val="002043A2"/>
    <w:rsid w:val="00211AC2"/>
    <w:rsid w:val="002142B2"/>
    <w:rsid w:val="00217E8E"/>
    <w:rsid w:val="00220A9C"/>
    <w:rsid w:val="00231321"/>
    <w:rsid w:val="002347DE"/>
    <w:rsid w:val="0024103B"/>
    <w:rsid w:val="002441EC"/>
    <w:rsid w:val="00246920"/>
    <w:rsid w:val="0025272E"/>
    <w:rsid w:val="00257B0E"/>
    <w:rsid w:val="00261419"/>
    <w:rsid w:val="002614EA"/>
    <w:rsid w:val="00262A49"/>
    <w:rsid w:val="00262E27"/>
    <w:rsid w:val="00265A38"/>
    <w:rsid w:val="00271995"/>
    <w:rsid w:val="00275B24"/>
    <w:rsid w:val="002760BD"/>
    <w:rsid w:val="002A4C73"/>
    <w:rsid w:val="002C3C04"/>
    <w:rsid w:val="002D019E"/>
    <w:rsid w:val="002D4E75"/>
    <w:rsid w:val="002E43C2"/>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C5499"/>
    <w:rsid w:val="003D1A58"/>
    <w:rsid w:val="003D2B3F"/>
    <w:rsid w:val="003D70DC"/>
    <w:rsid w:val="003E132F"/>
    <w:rsid w:val="003E2FED"/>
    <w:rsid w:val="003F7500"/>
    <w:rsid w:val="004028A4"/>
    <w:rsid w:val="00403810"/>
    <w:rsid w:val="00417655"/>
    <w:rsid w:val="00425F92"/>
    <w:rsid w:val="0042636C"/>
    <w:rsid w:val="00426F50"/>
    <w:rsid w:val="00430735"/>
    <w:rsid w:val="0043412C"/>
    <w:rsid w:val="0044289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501ACA"/>
    <w:rsid w:val="005076CF"/>
    <w:rsid w:val="00514851"/>
    <w:rsid w:val="00515D37"/>
    <w:rsid w:val="00516023"/>
    <w:rsid w:val="00521318"/>
    <w:rsid w:val="0052631A"/>
    <w:rsid w:val="00527AE4"/>
    <w:rsid w:val="0053437A"/>
    <w:rsid w:val="00534FCA"/>
    <w:rsid w:val="0054098C"/>
    <w:rsid w:val="00546B62"/>
    <w:rsid w:val="00555D4D"/>
    <w:rsid w:val="005741B8"/>
    <w:rsid w:val="00580CD3"/>
    <w:rsid w:val="00585E3C"/>
    <w:rsid w:val="00586B91"/>
    <w:rsid w:val="0058791C"/>
    <w:rsid w:val="005912AE"/>
    <w:rsid w:val="0059536F"/>
    <w:rsid w:val="00595DF3"/>
    <w:rsid w:val="005A021F"/>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426E7"/>
    <w:rsid w:val="0064784D"/>
    <w:rsid w:val="00657453"/>
    <w:rsid w:val="00672525"/>
    <w:rsid w:val="006770E1"/>
    <w:rsid w:val="00686990"/>
    <w:rsid w:val="00692041"/>
    <w:rsid w:val="006A7635"/>
    <w:rsid w:val="006B3428"/>
    <w:rsid w:val="006C241D"/>
    <w:rsid w:val="006C39BC"/>
    <w:rsid w:val="006C55BD"/>
    <w:rsid w:val="006E0AC8"/>
    <w:rsid w:val="006F24F9"/>
    <w:rsid w:val="006F48EA"/>
    <w:rsid w:val="007000AA"/>
    <w:rsid w:val="00730015"/>
    <w:rsid w:val="007420F5"/>
    <w:rsid w:val="007455F5"/>
    <w:rsid w:val="007500E8"/>
    <w:rsid w:val="00760649"/>
    <w:rsid w:val="007A44C3"/>
    <w:rsid w:val="007A5B64"/>
    <w:rsid w:val="007B2D86"/>
    <w:rsid w:val="007B3F8C"/>
    <w:rsid w:val="007B712A"/>
    <w:rsid w:val="007B7379"/>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D1361"/>
    <w:rsid w:val="008E0982"/>
    <w:rsid w:val="008E2D99"/>
    <w:rsid w:val="008F5FF3"/>
    <w:rsid w:val="008F799A"/>
    <w:rsid w:val="0090052B"/>
    <w:rsid w:val="009213C2"/>
    <w:rsid w:val="00923B86"/>
    <w:rsid w:val="00927B20"/>
    <w:rsid w:val="00930CAB"/>
    <w:rsid w:val="0093117C"/>
    <w:rsid w:val="00935115"/>
    <w:rsid w:val="00936851"/>
    <w:rsid w:val="00960E82"/>
    <w:rsid w:val="00965DC4"/>
    <w:rsid w:val="00966AE3"/>
    <w:rsid w:val="00973823"/>
    <w:rsid w:val="00984EA6"/>
    <w:rsid w:val="00986B07"/>
    <w:rsid w:val="009873F7"/>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B5"/>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088E"/>
    <w:rsid w:val="00BC1113"/>
    <w:rsid w:val="00BD52BC"/>
    <w:rsid w:val="00C1019B"/>
    <w:rsid w:val="00C355FB"/>
    <w:rsid w:val="00C36DF1"/>
    <w:rsid w:val="00C54D0A"/>
    <w:rsid w:val="00C63D31"/>
    <w:rsid w:val="00C82160"/>
    <w:rsid w:val="00C82F0C"/>
    <w:rsid w:val="00C87992"/>
    <w:rsid w:val="00C9023F"/>
    <w:rsid w:val="00CA3BCA"/>
    <w:rsid w:val="00CA7EA5"/>
    <w:rsid w:val="00CC0D4E"/>
    <w:rsid w:val="00CC1C0F"/>
    <w:rsid w:val="00CC6BE2"/>
    <w:rsid w:val="00CD059E"/>
    <w:rsid w:val="00CD0615"/>
    <w:rsid w:val="00CE289A"/>
    <w:rsid w:val="00CE2A13"/>
    <w:rsid w:val="00CE47C1"/>
    <w:rsid w:val="00CF67DC"/>
    <w:rsid w:val="00CF7327"/>
    <w:rsid w:val="00D066C3"/>
    <w:rsid w:val="00D14E98"/>
    <w:rsid w:val="00D15927"/>
    <w:rsid w:val="00D204B8"/>
    <w:rsid w:val="00D2479B"/>
    <w:rsid w:val="00D32696"/>
    <w:rsid w:val="00D365D3"/>
    <w:rsid w:val="00D60438"/>
    <w:rsid w:val="00D63B2B"/>
    <w:rsid w:val="00D7613A"/>
    <w:rsid w:val="00D7707E"/>
    <w:rsid w:val="00D77BA0"/>
    <w:rsid w:val="00D81A5A"/>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3AD8"/>
    <w:rsid w:val="00F04B61"/>
    <w:rsid w:val="00F05B41"/>
    <w:rsid w:val="00F079B9"/>
    <w:rsid w:val="00F1076B"/>
    <w:rsid w:val="00F26B8C"/>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188"/>
    <w:rsid w:val="00FA6465"/>
    <w:rsid w:val="00FB13F0"/>
    <w:rsid w:val="00FB550E"/>
    <w:rsid w:val="00FB716D"/>
    <w:rsid w:val="00FC35A4"/>
    <w:rsid w:val="00FD2300"/>
    <w:rsid w:val="00FD5716"/>
    <w:rsid w:val="00FD6B41"/>
    <w:rsid w:val="00FD782D"/>
    <w:rsid w:val="00FD7D43"/>
    <w:rsid w:val="00FE015C"/>
    <w:rsid w:val="00FE2350"/>
    <w:rsid w:val="00FE2D5B"/>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EC7BEE4-C8F3-4459-B327-20AA1842B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 w:type="paragraph" w:styleId="Prrafodelista">
    <w:name w:val="List Paragraph"/>
    <w:basedOn w:val="Normal"/>
    <w:uiPriority w:val="34"/>
    <w:qFormat/>
    <w:rsid w:val="00214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plantilla_carta_primera_hoja_byn.dot</Template>
  <TotalTime>44</TotalTime>
  <Pages>2</Pages>
  <Words>445</Words>
  <Characters>2453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UCA</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dc:creator>
  <cp:lastModifiedBy>Usuario</cp:lastModifiedBy>
  <cp:revision>6</cp:revision>
  <cp:lastPrinted>2015-12-09T12:49:00Z</cp:lastPrinted>
  <dcterms:created xsi:type="dcterms:W3CDTF">2016-11-04T11:17:00Z</dcterms:created>
  <dcterms:modified xsi:type="dcterms:W3CDTF">2016-12-12T23:27:00Z</dcterms:modified>
</cp:coreProperties>
</file>