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BA2" w:rsidRDefault="00233BA2">
      <w:pPr>
        <w:pStyle w:val="Standard"/>
      </w:pPr>
    </w:p>
    <w:p w:rsidR="00233BA2" w:rsidRDefault="00233BA2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30"/>
        <w:gridCol w:w="2172"/>
        <w:gridCol w:w="1608"/>
        <w:gridCol w:w="564"/>
        <w:gridCol w:w="2183"/>
      </w:tblGrid>
      <w:tr w:rsidR="00233BA2" w:rsidTr="00233BA2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233BA2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233BA2" w:rsidRDefault="005A505B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233BA2" w:rsidRDefault="00233BA2">
            <w:pPr>
              <w:pStyle w:val="Standard"/>
              <w:jc w:val="center"/>
            </w:pPr>
          </w:p>
          <w:p w:rsidR="00233BA2" w:rsidRDefault="005A505B">
            <w:pPr>
              <w:pStyle w:val="Heading1"/>
              <w:jc w:val="center"/>
              <w:outlineLvl w:val="9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233BA2" w:rsidRDefault="005A505B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233BA2" w:rsidRDefault="005A505B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233BA2" w:rsidRDefault="005A505B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233BA2" w:rsidTr="00233BA2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5A505B">
            <w:pPr>
              <w:pStyle w:val="Heading1"/>
              <w:snapToGrid w:val="0"/>
              <w:outlineLvl w:val="9"/>
            </w:pPr>
            <w:r>
              <w:t>Persona que realiza las alegaciones:</w:t>
            </w:r>
          </w:p>
        </w:tc>
      </w:tr>
      <w:tr w:rsidR="00233BA2" w:rsidTr="00233BA2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5A505B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5A505B">
            <w:pPr>
              <w:pStyle w:val="Standard"/>
              <w:snapToGrid w:val="0"/>
            </w:pPr>
            <w:r>
              <w:t>José Ángel Álvarez Saura</w:t>
            </w:r>
          </w:p>
        </w:tc>
      </w:tr>
      <w:tr w:rsidR="00233BA2" w:rsidTr="00233BA2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5A505B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5A505B">
            <w:pPr>
              <w:pStyle w:val="Standard"/>
              <w:snapToGrid w:val="0"/>
            </w:pPr>
            <w:r>
              <w:t>joseangel.alvarez@uca.es</w:t>
            </w:r>
          </w:p>
        </w:tc>
      </w:tr>
      <w:tr w:rsidR="00233BA2" w:rsidTr="00233BA2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5A505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233BA2" w:rsidTr="00233BA2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5A505B">
            <w:pPr>
              <w:widowControl/>
              <w:suppressAutoHyphens w:val="0"/>
              <w:autoSpaceDE w:val="0"/>
              <w:textAlignment w:val="auto"/>
              <w:rPr>
                <w:rFonts w:ascii="DejaVuSans-Bold" w:hAnsi="DejaVuSans-Bold" w:cs="DejaVuSans-Bold"/>
                <w:b/>
                <w:bCs/>
                <w:color w:val="1F497D"/>
                <w:kern w:val="0"/>
              </w:rPr>
            </w:pPr>
            <w:r>
              <w:rPr>
                <w:rFonts w:ascii="DejaVuSans-Bold" w:hAnsi="DejaVuSans-Bold" w:cs="DejaVuSans-Bold"/>
                <w:b/>
                <w:bCs/>
                <w:color w:val="1F497D"/>
                <w:kern w:val="0"/>
              </w:rPr>
              <w:t>1. Objeto y vigencia del presente Plan Propio de Investigación y</w:t>
            </w:r>
          </w:p>
          <w:p w:rsidR="00233BA2" w:rsidRDefault="005A505B">
            <w:pPr>
              <w:pStyle w:val="Standard"/>
              <w:snapToGrid w:val="0"/>
            </w:pPr>
            <w:r>
              <w:rPr>
                <w:rFonts w:ascii="DejaVuSans-Bold" w:hAnsi="DejaVuSans-Bold" w:cs="DejaVuSans-Bold"/>
                <w:b/>
                <w:bCs/>
                <w:color w:val="1F497D"/>
                <w:kern w:val="0"/>
              </w:rPr>
              <w:t>Transferencia</w:t>
            </w:r>
          </w:p>
        </w:tc>
      </w:tr>
      <w:tr w:rsidR="00233BA2" w:rsidTr="00233BA2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5A505B">
            <w:pPr>
              <w:pStyle w:val="Heading1"/>
              <w:snapToGrid w:val="0"/>
              <w:outlineLvl w:val="9"/>
            </w:pPr>
            <w:r>
              <w:t>Artículo a la que se presentan alegaciones</w:t>
            </w:r>
          </w:p>
        </w:tc>
      </w:tr>
      <w:tr w:rsidR="00233BA2" w:rsidTr="00233BA2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5A505B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233BA2">
            <w:pPr>
              <w:pStyle w:val="Standard"/>
              <w:snapToGrid w:val="0"/>
            </w:pPr>
          </w:p>
        </w:tc>
      </w:tr>
      <w:tr w:rsidR="00233BA2" w:rsidTr="00233BA2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5A505B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233BA2">
            <w:pPr>
              <w:pStyle w:val="Standard"/>
              <w:snapToGrid w:val="0"/>
            </w:pP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5A505B">
            <w:pPr>
              <w:pStyle w:val="Standard"/>
              <w:snapToGrid w:val="0"/>
            </w:pPr>
            <w:r>
              <w:t>Subapartado(s)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233BA2">
            <w:pPr>
              <w:pStyle w:val="Standard"/>
              <w:snapToGrid w:val="0"/>
            </w:pPr>
          </w:p>
        </w:tc>
      </w:tr>
      <w:tr w:rsidR="00233BA2" w:rsidTr="00233BA2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5A505B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233BA2" w:rsidRDefault="00233BA2">
            <w:pPr>
              <w:pStyle w:val="Standard"/>
            </w:pPr>
          </w:p>
          <w:p w:rsidR="00233BA2" w:rsidRDefault="005A505B">
            <w:pPr>
              <w:pStyle w:val="Standard"/>
            </w:pPr>
            <w:r>
              <w:t xml:space="preserve">El </w:t>
            </w:r>
            <w:r>
              <w:t>borrador de Plan propio establece:</w:t>
            </w:r>
          </w:p>
          <w:p w:rsidR="00233BA2" w:rsidRDefault="00233BA2">
            <w:pPr>
              <w:pStyle w:val="Standard"/>
            </w:pPr>
          </w:p>
          <w:p w:rsidR="00233BA2" w:rsidRDefault="005A505B">
            <w:pPr>
              <w:widowControl/>
              <w:suppressAutoHyphens w:val="0"/>
              <w:autoSpaceDE w:val="0"/>
              <w:textAlignment w:val="auto"/>
              <w:rPr>
                <w:rFonts w:ascii="DejaVuSans" w:hAnsi="DejaVuSans" w:cs="DejaVuSans"/>
                <w:i/>
                <w:kern w:val="0"/>
              </w:rPr>
            </w:pPr>
            <w:r>
              <w:rPr>
                <w:rFonts w:ascii="DejaVuSans" w:hAnsi="DejaVuSans" w:cs="DejaVuSans"/>
                <w:i/>
                <w:kern w:val="0"/>
              </w:rPr>
              <w:t>La vigencia del presente plan propio se extenderá a lo largo del año</w:t>
            </w:r>
          </w:p>
          <w:p w:rsidR="00233BA2" w:rsidRDefault="005A505B">
            <w:pPr>
              <w:widowControl/>
              <w:suppressAutoHyphens w:val="0"/>
              <w:autoSpaceDE w:val="0"/>
              <w:textAlignment w:val="auto"/>
              <w:rPr>
                <w:rFonts w:ascii="DejaVuSans" w:hAnsi="DejaVuSans" w:cs="DejaVuSans"/>
                <w:i/>
                <w:kern w:val="0"/>
              </w:rPr>
            </w:pPr>
            <w:r>
              <w:rPr>
                <w:rFonts w:ascii="DejaVuSans" w:hAnsi="DejaVuSans" w:cs="DejaVuSans"/>
                <w:i/>
                <w:kern w:val="0"/>
              </w:rPr>
              <w:t>natural 2014, destinándose a financiar aquellas acciones que se inicien en</w:t>
            </w:r>
          </w:p>
          <w:p w:rsidR="00233BA2" w:rsidRDefault="005A505B">
            <w:pPr>
              <w:widowControl/>
              <w:suppressAutoHyphens w:val="0"/>
              <w:autoSpaceDE w:val="0"/>
              <w:textAlignment w:val="auto"/>
              <w:rPr>
                <w:rFonts w:ascii="DejaVuSans" w:hAnsi="DejaVuSans" w:cs="DejaVuSans"/>
                <w:i/>
                <w:kern w:val="0"/>
              </w:rPr>
            </w:pPr>
            <w:r>
              <w:rPr>
                <w:rFonts w:ascii="DejaVuSans" w:hAnsi="DejaVuSans" w:cs="DejaVuSans"/>
                <w:i/>
                <w:kern w:val="0"/>
              </w:rPr>
              <w:t>el periodo de tiempo comprendido dentro del mismo. Con carácter</w:t>
            </w:r>
          </w:p>
          <w:p w:rsidR="00233BA2" w:rsidRDefault="005A505B">
            <w:pPr>
              <w:widowControl/>
              <w:suppressAutoHyphens w:val="0"/>
              <w:autoSpaceDE w:val="0"/>
              <w:textAlignment w:val="auto"/>
              <w:rPr>
                <w:rFonts w:ascii="DejaVuSans" w:hAnsi="DejaVuSans" w:cs="DejaVuSans"/>
                <w:i/>
                <w:kern w:val="0"/>
              </w:rPr>
            </w:pPr>
            <w:r>
              <w:rPr>
                <w:rFonts w:ascii="DejaVuSans" w:hAnsi="DejaVuSans" w:cs="DejaVuSans"/>
                <w:i/>
                <w:kern w:val="0"/>
              </w:rPr>
              <w:t>excepcional,</w:t>
            </w:r>
            <w:r>
              <w:rPr>
                <w:rFonts w:ascii="DejaVuSans" w:hAnsi="DejaVuSans" w:cs="DejaVuSans"/>
                <w:i/>
                <w:kern w:val="0"/>
              </w:rPr>
              <w:t xml:space="preserve"> podrán financiarse actuaciones que se inicien durante el mes</w:t>
            </w:r>
          </w:p>
          <w:p w:rsidR="00233BA2" w:rsidRDefault="005A505B">
            <w:pPr>
              <w:widowControl/>
              <w:suppressAutoHyphens w:val="0"/>
              <w:autoSpaceDE w:val="0"/>
              <w:textAlignment w:val="auto"/>
              <w:rPr>
                <w:rFonts w:ascii="DejaVuSans" w:hAnsi="DejaVuSans" w:cs="DejaVuSans"/>
                <w:i/>
                <w:kern w:val="0"/>
              </w:rPr>
            </w:pPr>
            <w:r>
              <w:rPr>
                <w:rFonts w:ascii="DejaVuSans" w:hAnsi="DejaVuSans" w:cs="DejaVuSans"/>
                <w:i/>
                <w:kern w:val="0"/>
              </w:rPr>
              <w:t>de enero del 2015. El presente Plan Propio podrá verse prorrogado, total o</w:t>
            </w:r>
          </w:p>
          <w:p w:rsidR="00233BA2" w:rsidRDefault="005A505B">
            <w:pPr>
              <w:pStyle w:val="Standard"/>
              <w:rPr>
                <w:rFonts w:ascii="DejaVuSans" w:hAnsi="DejaVuSans" w:cs="DejaVuSans"/>
                <w:i/>
                <w:kern w:val="0"/>
              </w:rPr>
            </w:pPr>
            <w:r>
              <w:rPr>
                <w:rFonts w:ascii="DejaVuSans" w:hAnsi="DejaVuSans" w:cs="DejaVuSans"/>
                <w:i/>
                <w:kern w:val="0"/>
              </w:rPr>
              <w:t>parcialmente, con el visto bueno del Consejo de Gobierno.</w:t>
            </w:r>
          </w:p>
          <w:p w:rsidR="00233BA2" w:rsidRDefault="00233BA2">
            <w:pPr>
              <w:pStyle w:val="Standard"/>
              <w:rPr>
                <w:rFonts w:ascii="DejaVuSans" w:hAnsi="DejaVuSans" w:cs="DejaVuSans"/>
                <w:kern w:val="0"/>
              </w:rPr>
            </w:pPr>
          </w:p>
          <w:p w:rsidR="00233BA2" w:rsidRDefault="005A505B">
            <w:pPr>
              <w:pStyle w:val="Standard"/>
              <w:rPr>
                <w:rFonts w:ascii="DejaVuSans" w:hAnsi="DejaVuSans" w:cs="DejaVuSans"/>
                <w:kern w:val="0"/>
              </w:rPr>
            </w:pPr>
            <w:r>
              <w:rPr>
                <w:rFonts w:ascii="DejaVuSans" w:hAnsi="DejaVuSans" w:cs="DejaVuSans"/>
                <w:kern w:val="0"/>
              </w:rPr>
              <w:t>No queda determinada la vigencia del Plan propio.</w:t>
            </w:r>
          </w:p>
          <w:p w:rsidR="00233BA2" w:rsidRDefault="00233BA2">
            <w:pPr>
              <w:pStyle w:val="Standard"/>
            </w:pPr>
          </w:p>
        </w:tc>
      </w:tr>
      <w:tr w:rsidR="00233BA2" w:rsidTr="00233BA2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5A505B">
            <w:pPr>
              <w:pStyle w:val="Heading1"/>
              <w:snapToGrid w:val="0"/>
              <w:outlineLvl w:val="9"/>
            </w:pPr>
            <w:r>
              <w:t xml:space="preserve">Breve </w:t>
            </w:r>
            <w:r>
              <w:t>explicación y motivación de la alegación:</w:t>
            </w:r>
          </w:p>
        </w:tc>
      </w:tr>
      <w:tr w:rsidR="00233BA2" w:rsidTr="00233BA2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233BA2">
            <w:pPr>
              <w:pStyle w:val="Standard"/>
            </w:pPr>
          </w:p>
          <w:p w:rsidR="00233BA2" w:rsidRDefault="005A505B">
            <w:pPr>
              <w:pStyle w:val="Standard"/>
            </w:pPr>
            <w:r>
              <w:rPr>
                <w:rFonts w:ascii="DejaVuSans" w:hAnsi="DejaVuSans" w:cs="DejaVuSans"/>
                <w:kern w:val="0"/>
              </w:rPr>
              <w:t>Al indicar “se extenderá a lo largo del año natural”, esta vigencia puede ser de 1 mes, de tres meses o del año completo, por tanto, no es acorde al título que la encabeza “vigencia”, por tanto, debe establecerse</w:t>
            </w:r>
            <w:r>
              <w:rPr>
                <w:rFonts w:ascii="DejaVuSans" w:hAnsi="DejaVuSans" w:cs="DejaVuSans"/>
                <w:kern w:val="0"/>
              </w:rPr>
              <w:t xml:space="preserve"> exactamente el tiempo de vigencia, pues de lo contrario en cualquier momento se puede indicar que ha dejado de tener vigencia, siempre que esté a lo largo del año 2014.</w:t>
            </w:r>
          </w:p>
          <w:p w:rsidR="00233BA2" w:rsidRDefault="00233BA2">
            <w:pPr>
              <w:pStyle w:val="Standard"/>
            </w:pPr>
          </w:p>
          <w:p w:rsidR="00233BA2" w:rsidRDefault="00233BA2">
            <w:pPr>
              <w:pStyle w:val="Standard"/>
            </w:pPr>
          </w:p>
        </w:tc>
      </w:tr>
      <w:tr w:rsidR="00233BA2" w:rsidTr="00233BA2">
        <w:tblPrEx>
          <w:tblCellMar>
            <w:top w:w="0" w:type="dxa"/>
            <w:bottom w:w="0" w:type="dxa"/>
          </w:tblCellMar>
        </w:tblPrEx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5A505B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3BA2" w:rsidRDefault="005A505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233BA2" w:rsidRDefault="00233BA2">
      <w:pPr>
        <w:pStyle w:val="Standard"/>
      </w:pPr>
    </w:p>
    <w:sectPr w:rsidR="00233BA2" w:rsidSect="00233BA2">
      <w:headerReference w:type="default" r:id="rId7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05B" w:rsidRDefault="005A505B" w:rsidP="00233BA2">
      <w:r>
        <w:separator/>
      </w:r>
    </w:p>
  </w:endnote>
  <w:endnote w:type="continuationSeparator" w:id="0">
    <w:p w:rsidR="005A505B" w:rsidRDefault="005A505B" w:rsidP="00233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altName w:val="Arial"/>
    <w:charset w:val="00"/>
    <w:family w:val="swiss"/>
    <w:pitch w:val="variable"/>
    <w:sig w:usb0="00000000" w:usb1="00000000" w:usb2="00000000" w:usb3="00000000" w:csb0="00000000" w:csb1="00000000"/>
  </w:font>
  <w:font w:name="DejaVu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05B" w:rsidRDefault="005A505B" w:rsidP="00233BA2">
      <w:r w:rsidRPr="00233BA2">
        <w:rPr>
          <w:color w:val="000000"/>
        </w:rPr>
        <w:separator/>
      </w:r>
    </w:p>
  </w:footnote>
  <w:footnote w:type="continuationSeparator" w:id="0">
    <w:p w:rsidR="005A505B" w:rsidRDefault="005A505B" w:rsidP="00233B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000"/>
    </w:tblPr>
    <w:tblGrid>
      <w:gridCol w:w="3060"/>
      <w:gridCol w:w="180"/>
      <w:gridCol w:w="2520"/>
      <w:gridCol w:w="180"/>
      <w:gridCol w:w="2669"/>
    </w:tblGrid>
    <w:tr w:rsidR="00233BA2" w:rsidRPr="00FE0B1A" w:rsidTr="00EF16F1">
      <w:tblPrEx>
        <w:tblCellMar>
          <w:top w:w="0" w:type="dxa"/>
          <w:bottom w:w="0" w:type="dxa"/>
        </w:tblCellMar>
      </w:tblPrEx>
      <w:trPr>
        <w:trHeight w:val="1258"/>
        <w:jc w:val="center"/>
      </w:trPr>
      <w:tc>
        <w:tcPr>
          <w:tcW w:w="3060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233BA2" w:rsidRDefault="00233BA2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3" cy="893515"/>
                <wp:effectExtent l="0" t="0" r="0" b="0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3" cy="89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233BA2" w:rsidRDefault="00233BA2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59" cy="687235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59" cy="68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233BA2" w:rsidRDefault="00233BA2">
          <w:pPr>
            <w:pStyle w:val="Titulo1"/>
            <w:snapToGrid w:val="0"/>
            <w:outlineLvl w:val="9"/>
            <w:rPr>
              <w:rFonts w:hint="eastAsia"/>
            </w:rPr>
          </w:pPr>
        </w:p>
        <w:p w:rsidR="00233BA2" w:rsidRDefault="00233BA2">
          <w:pPr>
            <w:pStyle w:val="Titulo1"/>
            <w:jc w:val="center"/>
            <w:outlineLvl w:val="9"/>
            <w:rPr>
              <w:rFonts w:hint="eastAsia"/>
            </w:rPr>
          </w:pPr>
          <w:r>
            <w:t>Secretaría General</w:t>
          </w:r>
        </w:p>
        <w:p w:rsidR="00233BA2" w:rsidRDefault="00233BA2">
          <w:pPr>
            <w:pStyle w:val="Titulo1"/>
            <w:outlineLvl w:val="9"/>
            <w:rPr>
              <w:rFonts w:hint="eastAsia"/>
            </w:rPr>
          </w:pPr>
        </w:p>
        <w:p w:rsidR="00233BA2" w:rsidRDefault="00233BA2">
          <w:pPr>
            <w:pStyle w:val="Titulo1"/>
            <w:outlineLvl w:val="9"/>
            <w:rPr>
              <w:rFonts w:hint="eastAsia"/>
            </w:rPr>
          </w:pPr>
        </w:p>
      </w:tc>
      <w:tc>
        <w:tcPr>
          <w:tcW w:w="180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233BA2" w:rsidRDefault="00233BA2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59" cy="687235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alphaModFix/>
                          <a:lum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59" cy="68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233BA2" w:rsidRDefault="00233BA2">
          <w:pPr>
            <w:pStyle w:val="Textoencabezado"/>
            <w:snapToGrid w:val="0"/>
          </w:pPr>
        </w:p>
        <w:p w:rsidR="00233BA2" w:rsidRDefault="00233BA2">
          <w:pPr>
            <w:pStyle w:val="Textoencabezado"/>
            <w:jc w:val="right"/>
          </w:pPr>
          <w:r>
            <w:t>C/. Ancha, 16. 11001 Cádiz.</w:t>
          </w:r>
        </w:p>
        <w:p w:rsidR="00233BA2" w:rsidRDefault="00233BA2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233BA2" w:rsidRDefault="00233BA2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233BA2" w:rsidRDefault="00233BA2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233BA2" w:rsidRDefault="00233BA2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74F84"/>
    <w:multiLevelType w:val="multilevel"/>
    <w:tmpl w:val="91723A14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3BA2"/>
    <w:rsid w:val="00233BA2"/>
    <w:rsid w:val="005A505B"/>
    <w:rsid w:val="00FE0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33BA2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233BA2"/>
    <w:pPr>
      <w:widowControl/>
      <w:suppressAutoHyphens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rsid w:val="00233BA2"/>
    <w:pPr>
      <w:spacing w:after="120"/>
    </w:pPr>
  </w:style>
  <w:style w:type="paragraph" w:customStyle="1" w:styleId="Heading">
    <w:name w:val="Heading"/>
    <w:basedOn w:val="Standard"/>
    <w:next w:val="Textbody"/>
    <w:rsid w:val="00233BA2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Heading1">
    <w:name w:val="Heading 1"/>
    <w:basedOn w:val="Standard"/>
    <w:next w:val="Standard"/>
    <w:rsid w:val="00233BA2"/>
    <w:pPr>
      <w:keepNext/>
      <w:outlineLvl w:val="0"/>
    </w:pPr>
    <w:rPr>
      <w:b/>
      <w:bCs/>
    </w:rPr>
  </w:style>
  <w:style w:type="paragraph" w:styleId="Lista">
    <w:name w:val="List"/>
    <w:basedOn w:val="Textbody"/>
    <w:rsid w:val="00233BA2"/>
    <w:rPr>
      <w:rFonts w:cs="Tahoma"/>
    </w:rPr>
  </w:style>
  <w:style w:type="paragraph" w:customStyle="1" w:styleId="Header">
    <w:name w:val="Header"/>
    <w:basedOn w:val="Standard"/>
    <w:rsid w:val="00233BA2"/>
    <w:pPr>
      <w:tabs>
        <w:tab w:val="center" w:pos="4252"/>
        <w:tab w:val="right" w:pos="8504"/>
      </w:tabs>
    </w:pPr>
  </w:style>
  <w:style w:type="paragraph" w:customStyle="1" w:styleId="Footer">
    <w:name w:val="Footer"/>
    <w:basedOn w:val="Standard"/>
    <w:rsid w:val="00233BA2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rsid w:val="00233BA2"/>
    <w:pPr>
      <w:suppressLineNumbers/>
    </w:pPr>
  </w:style>
  <w:style w:type="paragraph" w:customStyle="1" w:styleId="TableHeading">
    <w:name w:val="Table Heading"/>
    <w:basedOn w:val="TableContents"/>
    <w:rsid w:val="00233BA2"/>
    <w:pPr>
      <w:jc w:val="center"/>
    </w:pPr>
    <w:rPr>
      <w:b/>
      <w:bCs/>
      <w:i/>
      <w:iCs/>
    </w:rPr>
  </w:style>
  <w:style w:type="paragraph" w:customStyle="1" w:styleId="Caption">
    <w:name w:val="Caption"/>
    <w:basedOn w:val="Standard"/>
    <w:rsid w:val="00233BA2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233BA2"/>
    <w:pPr>
      <w:suppressLineNumbers/>
    </w:pPr>
    <w:rPr>
      <w:rFonts w:cs="Tahoma"/>
    </w:rPr>
  </w:style>
  <w:style w:type="paragraph" w:customStyle="1" w:styleId="Textoencabezado">
    <w:name w:val="Texto encabezado"/>
    <w:rsid w:val="00233BA2"/>
    <w:pPr>
      <w:suppressAutoHyphens/>
    </w:pPr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Heading1"/>
    <w:rsid w:val="00233BA2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sid w:val="00233BA2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233BA2"/>
    <w:rPr>
      <w:rFonts w:ascii="Courier New" w:hAnsi="Courier New"/>
    </w:rPr>
  </w:style>
  <w:style w:type="character" w:customStyle="1" w:styleId="WW8Num1z2">
    <w:name w:val="WW8Num1z2"/>
    <w:rsid w:val="00233BA2"/>
    <w:rPr>
      <w:rFonts w:ascii="Wingdings" w:hAnsi="Wingdings"/>
    </w:rPr>
  </w:style>
  <w:style w:type="character" w:customStyle="1" w:styleId="WW8Num1z3">
    <w:name w:val="WW8Num1z3"/>
    <w:rsid w:val="00233BA2"/>
    <w:rPr>
      <w:rFonts w:ascii="Symbol" w:hAnsi="Symbol"/>
    </w:rPr>
  </w:style>
  <w:style w:type="paragraph" w:styleId="Encabezado">
    <w:name w:val="header"/>
    <w:basedOn w:val="Normal"/>
    <w:rsid w:val="00233B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rsid w:val="00233BA2"/>
  </w:style>
  <w:style w:type="paragraph" w:styleId="Textodeglobo">
    <w:name w:val="Balloon Text"/>
    <w:basedOn w:val="Normal"/>
    <w:rsid w:val="00233BA2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rsid w:val="00233BA2"/>
    <w:rPr>
      <w:rFonts w:ascii="Tahoma" w:hAnsi="Tahoma"/>
      <w:sz w:val="16"/>
      <w:szCs w:val="16"/>
    </w:rPr>
  </w:style>
  <w:style w:type="numbering" w:customStyle="1" w:styleId="WW8Num1">
    <w:name w:val="WW8Num1"/>
    <w:basedOn w:val="Sinlista"/>
    <w:rsid w:val="00233BA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1430</Characters>
  <Application>Microsoft Office Word</Application>
  <DocSecurity>0</DocSecurity>
  <Lines>11</Lines>
  <Paragraphs>3</Paragraphs>
  <ScaleCrop>false</ScaleCrop>
  <Company>http://www.centor.mx.gd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Centor</cp:lastModifiedBy>
  <cp:revision>2</cp:revision>
  <dcterms:created xsi:type="dcterms:W3CDTF">2013-12-13T07:42:00Z</dcterms:created>
  <dcterms:modified xsi:type="dcterms:W3CDTF">2013-12-13T07:42:00Z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